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5985"/>
        </w:tabs>
        <w:spacing w:beforeAutospacing="0" w:afterAutospacing="0" w:line="360" w:lineRule="auto"/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rect id="_x0000_s1035" o:spid="_x0000_s1028" style="position:absolute;left:0;margin-left:2.6pt;margin-top:24.45pt;height:215.3pt;width:343.35pt;rotation:0f;z-index:-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before="0" w:beforeAutospacing="0" w:after="0" w:afterAutospacing="0" w:line="1200" w:lineRule="exact"/>
                    <w:ind w:left="0" w:leftChars="0" w:right="0" w:firstLine="0" w:firstLineChars="0"/>
                    <w:jc w:val="distribute"/>
                    <w:textAlignment w:val="auto"/>
                    <w:outlineLvl w:val="9"/>
                    <w:rPr>
                      <w:rFonts w:hint="eastAsia" w:ascii="方正小标宋简体" w:hAnsi="方正小标宋简体" w:eastAsia="方正小标宋简体"/>
                      <w:color w:val="000000"/>
                      <w:sz w:val="90"/>
                      <w:szCs w:val="90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/>
                      <w:color w:val="000000"/>
                      <w:sz w:val="90"/>
                      <w:szCs w:val="90"/>
                      <w:lang w:val="en-US" w:eastAsia="zh-CN"/>
                    </w:rPr>
                    <w:t>莆田市财政局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before="0" w:beforeAutospacing="0" w:after="0" w:afterAutospacing="0" w:line="1200" w:lineRule="exact"/>
                    <w:ind w:left="0" w:leftChars="0" w:right="0" w:firstLine="0" w:firstLineChars="0"/>
                    <w:jc w:val="distribute"/>
                    <w:textAlignment w:val="auto"/>
                    <w:outlineLvl w:val="9"/>
                    <w:rPr>
                      <w:rFonts w:hint="eastAsia" w:ascii="方正小标宋简体" w:hAnsi="方正小标宋简体" w:eastAsia="方正小标宋简体"/>
                      <w:color w:val="FF0000"/>
                      <w:spacing w:val="-23"/>
                      <w:sz w:val="84"/>
                      <w:szCs w:val="84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/>
                      <w:color w:val="000000"/>
                      <w:spacing w:val="-23"/>
                      <w:sz w:val="90"/>
                      <w:szCs w:val="90"/>
                      <w:lang w:val="en-US" w:eastAsia="zh-CN"/>
                    </w:rPr>
                    <w:t>莆田市农业农村局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before="0" w:beforeAutospacing="0" w:after="0" w:afterAutospacing="0" w:line="1200" w:lineRule="exact"/>
                    <w:ind w:left="0" w:leftChars="0" w:right="0" w:firstLine="0" w:firstLineChars="0"/>
                    <w:jc w:val="distribute"/>
                    <w:textAlignment w:val="auto"/>
                    <w:outlineLvl w:val="9"/>
                    <w:rPr>
                      <w:rFonts w:hint="eastAsia" w:ascii="方正小标宋简体" w:hAnsi="方正小标宋简体" w:eastAsia="方正小标宋简体"/>
                      <w:color w:val="000000"/>
                      <w:sz w:val="84"/>
                      <w:szCs w:val="84"/>
                      <w:lang w:eastAsia="zh-CN"/>
                    </w:rPr>
                  </w:pPr>
                  <w:r>
                    <w:rPr>
                      <w:rFonts w:hint="eastAsia" w:ascii="方正小标宋简体" w:hAnsi="方正小标宋简体" w:eastAsia="方正小标宋简体"/>
                      <w:color w:val="000000"/>
                      <w:sz w:val="90"/>
                      <w:szCs w:val="90"/>
                      <w:lang w:val="en-US" w:eastAsia="zh-CN"/>
                    </w:rPr>
                    <w:t>莆田市水利局</w:t>
                  </w:r>
                </w:p>
                <w:p>
                  <w:pPr>
                    <w:widowControl w:val="0"/>
                    <w:spacing w:before="0" w:beforeAutospacing="0" w:after="0" w:afterAutospacing="0" w:line="360" w:lineRule="auto"/>
                    <w:ind w:left="0" w:leftChars="0" w:right="0" w:firstLine="0" w:firstLineChars="0"/>
                    <w:jc w:val="distribute"/>
                    <w:outlineLvl w:val="9"/>
                    <w:rPr>
                      <w:rFonts w:hint="eastAsia" w:ascii="方正小标宋简体" w:hAnsi="方正小标宋简体" w:eastAsia="方正小标宋简体"/>
                      <w:color w:val="FF0000"/>
                      <w:sz w:val="84"/>
                      <w:szCs w:val="84"/>
                      <w:lang w:val="en-US" w:eastAsia="zh-CN"/>
                    </w:rPr>
                  </w:pPr>
                </w:p>
                <w:p/>
              </w:txbxContent>
            </v:textbox>
          </v:rect>
        </w:pict>
      </w:r>
      <w:r>
        <w:rPr>
          <w:rFonts w:ascii="宋体" w:hAnsi="宋体"/>
          <w:sz w:val="32"/>
        </w:rPr>
        <w:tab/>
      </w:r>
    </w:p>
    <w:p>
      <w:pPr>
        <w:tabs>
          <w:tab w:val="left" w:pos="5265"/>
        </w:tabs>
        <w:spacing w:beforeAutospacing="0" w:afterAutospacing="0" w:line="360" w:lineRule="auto"/>
        <w:jc w:val="left"/>
        <w:rPr>
          <w:rFonts w:ascii="宋体" w:hAnsi="宋体"/>
          <w:sz w:val="72"/>
          <w:szCs w:val="72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rect id="_x0000_s1036" o:spid="_x0000_s1029" style="position:absolute;left:0;margin-left:349.85pt;margin-top:39.2pt;height:102.8pt;width:116.85pt;rotation:0f;z-index:25165926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rFonts w:hint="eastAsia" w:ascii="方正小标宋简体" w:hAnsi="方正小标宋简体" w:eastAsia="方正小标宋简体"/>
                      <w:color w:val="000000"/>
                      <w:sz w:val="112"/>
                      <w:szCs w:val="112"/>
                      <w:lang w:eastAsia="zh-CN"/>
                    </w:rPr>
                  </w:pPr>
                  <w:r>
                    <w:rPr>
                      <w:rFonts w:hint="eastAsia" w:ascii="方正小标宋简体" w:hAnsi="方正小标宋简体" w:eastAsia="方正小标宋简体"/>
                      <w:color w:val="000000"/>
                      <w:sz w:val="112"/>
                      <w:szCs w:val="112"/>
                      <w:lang w:eastAsia="zh-CN"/>
                    </w:rPr>
                    <w:t>文件</w:t>
                  </w:r>
                </w:p>
                <w:p/>
              </w:txbxContent>
            </v:textbox>
          </v:rect>
        </w:pict>
      </w:r>
      <w:r>
        <w:rPr>
          <w:rFonts w:ascii="宋体" w:hAnsi="宋体"/>
          <w:sz w:val="72"/>
          <w:szCs w:val="72"/>
        </w:rPr>
        <w:tab/>
      </w:r>
    </w:p>
    <w:p>
      <w:pPr>
        <w:tabs>
          <w:tab w:val="left" w:pos="5265"/>
        </w:tabs>
        <w:spacing w:beforeAutospacing="0" w:afterAutospacing="0" w:line="360" w:lineRule="auto"/>
        <w:jc w:val="left"/>
        <w:rPr>
          <w:rFonts w:hint="eastAsia" w:ascii="宋体" w:hAnsi="宋体"/>
          <w:sz w:val="32"/>
        </w:rPr>
      </w:pPr>
    </w:p>
    <w:p>
      <w:pPr>
        <w:tabs>
          <w:tab w:val="left" w:pos="5265"/>
        </w:tabs>
        <w:spacing w:beforeAutospacing="0" w:afterAutospacing="0" w:line="380" w:lineRule="exact"/>
        <w:jc w:val="left"/>
        <w:rPr>
          <w:rFonts w:hint="eastAsia" w:ascii="宋体" w:hAnsi="宋体"/>
          <w:sz w:val="32"/>
        </w:rPr>
      </w:pPr>
    </w:p>
    <w:p>
      <w:pPr>
        <w:spacing w:beforeAutospacing="0" w:afterAutospacing="0" w:line="380" w:lineRule="exact"/>
        <w:jc w:val="center"/>
        <w:rPr>
          <w:sz w:val="44"/>
        </w:rPr>
      </w:pPr>
    </w:p>
    <w:p>
      <w:pPr>
        <w:widowControl w:val="0"/>
        <w:spacing w:before="0" w:beforeAutospacing="0" w:after="0" w:afterAutospacing="0" w:line="560" w:lineRule="exact"/>
        <w:ind w:right="640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before="0" w:beforeAutospacing="0" w:after="0" w:afterAutospacing="0" w:line="560" w:lineRule="exact"/>
        <w:ind w:right="640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before="0" w:beforeAutospacing="0" w:after="0" w:afterAutospacing="0" w:line="560" w:lineRule="exact"/>
        <w:ind w:right="640"/>
        <w:outlineLvl w:val="9"/>
        <w:rPr>
          <w:rFonts w:hint="eastAsia"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598" w:tblpY="468"/>
        <w:tblOverlap w:val="never"/>
        <w:tblW w:w="9061" w:type="dxa"/>
        <w:tblBorders>
          <w:top w:val="none" w:color="auto" w:sz="0" w:space="0"/>
          <w:left w:val="none" w:color="auto" w:sz="0" w:space="0"/>
          <w:bottom w:val="single" w:color="auto" w:sz="2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0" w:beforeAutospacing="0" w:after="0" w:afterAutospacing="0" w:line="560" w:lineRule="exact"/>
              <w:ind w:right="64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莆财农〔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91号</w:t>
            </w:r>
          </w:p>
        </w:tc>
      </w:tr>
    </w:tbl>
    <w:p>
      <w:pPr>
        <w:widowControl w:val="0"/>
        <w:wordWrap/>
        <w:adjustRightInd/>
        <w:spacing w:before="0" w:beforeAutospacing="0" w:after="0" w:afterAutospacing="0" w:line="600" w:lineRule="exact"/>
        <w:ind w:right="640"/>
        <w:textAlignment w:val="auto"/>
        <w:outlineLvl w:val="9"/>
        <w:rPr>
          <w:sz w:val="44"/>
        </w:rPr>
      </w:pPr>
    </w:p>
    <w:p>
      <w:pPr>
        <w:widowControl w:val="0"/>
        <w:wordWrap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莆田市财政局 莆田市农业农村局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莆田市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eastAsia="zh-CN"/>
        </w:rPr>
        <w:t>水利局</w:t>
      </w:r>
    </w:p>
    <w:p>
      <w:pPr>
        <w:widowControl w:val="0"/>
        <w:wordWrap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  <w:t>木兰溪仙游段农村生态环境</w:t>
      </w:r>
    </w:p>
    <w:p>
      <w:pPr>
        <w:widowControl w:val="0"/>
        <w:wordWrap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  <w:t>整治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通知</w:t>
      </w:r>
    </w:p>
    <w:p>
      <w:pPr>
        <w:widowControl w:val="0"/>
        <w:wordWrap/>
        <w:adjustRightInd/>
        <w:snapToGrid w:val="0"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仙游县财政局、水利局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widowControl w:val="0"/>
        <w:wordWrap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根据《莆田市人民政府市长办公会议纪要》（〔2012〕24号）及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莆田市财政局关于批复20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年市本级部门预算的通知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莆财农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号），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为保障2024年木兰溪仙游段农村生态环境整治工程建设顺利开展，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现下达你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木兰溪仙游段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环境整治市级配套资金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主要用于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木兰溪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流域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仙游段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老区村、少数村、贫困村农村环境整治、提升。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款列“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2120814农业生产发展支出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”科目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县要按照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《莆田市财政局 莆田市农业农村局关于印发&lt;莆田市市级财政衔接推进乡村振兴补助资金管理办法&gt;的通知》（莆财农〔2021〕106号）文件要求，加强资金拨付、跟踪、监督、检查和管理，发现违规问题及时制止并报告上级财政、农业部门；对虚报、冒领、截留、挤占、挪用财政项目资金的单位和个人，按照《财政违法行为处罚处分条例（国务院令第427号）》等有关规定处理、处罚、处分，确保资金专款专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；要执行公告公示制度，按照“谁分配、谁公开，谁使用、谁公开，分配到哪，公开到哪”的要求，逐级做好公告公示工作。</w:t>
      </w: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left="1476" w:leftChars="304" w:hanging="838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 w:val="0"/>
        <w:tabs>
          <w:tab w:val="center" w:pos="4153"/>
        </w:tabs>
        <w:wordWrap/>
        <w:autoSpaceDN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附件：木兰溪仙游段生态环境整治资金绩效目标表</w:t>
      </w: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left="1476" w:leftChars="304" w:hanging="838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left="1593" w:leftChars="-146" w:hanging="1900" w:hangingChars="594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莆田市财政局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莆田市农业农村局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莆田市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widowControl w:val="0"/>
        <w:wordWrap/>
        <w:autoSpaceDN w:val="0"/>
        <w:adjustRightInd/>
        <w:snapToGrid w:val="0"/>
        <w:spacing w:before="0" w:beforeAutospacing="0" w:after="0" w:afterAutospacing="0" w:line="60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widowControl w:val="0"/>
        <w:tabs>
          <w:tab w:val="center" w:pos="4153"/>
        </w:tabs>
        <w:wordWrap/>
        <w:autoSpaceDN w:val="0"/>
        <w:adjustRightInd/>
        <w:snapToGrid w:val="0"/>
        <w:spacing w:before="0" w:beforeAutospacing="0" w:after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（此件主动公开）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ab/>
      </w:r>
    </w:p>
    <w:p>
      <w:pPr>
        <w:widowControl w:val="0"/>
        <w:tabs>
          <w:tab w:val="center" w:pos="4153"/>
        </w:tabs>
        <w:autoSpaceDN w:val="0"/>
        <w:snapToGrid w:val="0"/>
        <w:spacing w:before="0" w:beforeAutospacing="0" w:after="0" w:afterAutospacing="0" w:line="56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 w:val="0"/>
        <w:tabs>
          <w:tab w:val="center" w:pos="4153"/>
        </w:tabs>
        <w:autoSpaceDN w:val="0"/>
        <w:snapToGrid w:val="0"/>
        <w:spacing w:before="0" w:beforeAutospacing="0" w:after="0" w:afterAutospacing="0" w:line="56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Autospacing="0" w:afterAutospacing="0" w:line="600" w:lineRule="exact"/>
        <w:ind w:right="-1772" w:rightChars="-844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</w:p>
    <w:p>
      <w:pPr>
        <w:widowControl w:val="0"/>
        <w:tabs>
          <w:tab w:val="left" w:pos="210"/>
          <w:tab w:val="center" w:pos="4153"/>
        </w:tabs>
        <w:autoSpaceDN w:val="0"/>
        <w:snapToGrid w:val="0"/>
        <w:spacing w:before="0" w:beforeAutospacing="0" w:after="0" w:afterAutospacing="0"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木兰溪仙游段生态环境整治资金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绩效目标表</w:t>
      </w:r>
    </w:p>
    <w:tbl>
      <w:tblPr>
        <w:tblpPr w:leftFromText="180" w:rightFromText="180" w:vertAnchor="text" w:horzAnchor="page" w:tblpX="1612" w:tblpY="163"/>
        <w:tblOverlap w:val="never"/>
        <w:tblW w:w="86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246"/>
        <w:gridCol w:w="1262"/>
        <w:gridCol w:w="1347"/>
        <w:gridCol w:w="1094"/>
        <w:gridCol w:w="797"/>
        <w:gridCol w:w="1994"/>
        <w:gridCol w:w="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4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木兰溪仙游段生态环境整治资金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市级财政部门</w:t>
            </w:r>
          </w:p>
        </w:tc>
        <w:tc>
          <w:tcPr>
            <w:tcW w:w="260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莆田市财政局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市级主管部门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莆田市农业农村局</w:t>
            </w:r>
          </w:p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莆田市水利局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资金情况</w:t>
            </w:r>
          </w:p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  <w:tc>
          <w:tcPr>
            <w:tcW w:w="3703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年度资金</w:t>
            </w:r>
          </w:p>
        </w:tc>
        <w:tc>
          <w:tcPr>
            <w:tcW w:w="371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03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其中：中央补助</w:t>
            </w:r>
          </w:p>
        </w:tc>
        <w:tc>
          <w:tcPr>
            <w:tcW w:w="371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03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地方资金</w:t>
            </w:r>
          </w:p>
        </w:tc>
        <w:tc>
          <w:tcPr>
            <w:tcW w:w="371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30" w:hRule="atLeast"/>
        </w:trPr>
        <w:tc>
          <w:tcPr>
            <w:tcW w:w="12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总休目标</w:t>
            </w:r>
          </w:p>
        </w:tc>
        <w:tc>
          <w:tcPr>
            <w:tcW w:w="74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补助资金及时到位，支持木兰溪仙游段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防洪工程、生态环境整治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，完成年度建设任务。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绩效指标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二级指标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三级指标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产出指标</w:t>
            </w: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数量指标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完成堤防建设公里数（公里）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年度完成市级投资计划（万元）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质量指标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工程质量达标率（%）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工程验收率（%）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时效指标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工程完成及时率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成本指标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单价是否控制在批复概算单价内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效益指标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经济效益指标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环境整治河道（公里）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社会效益指标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资金使用重大违规违纪问题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满意度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服务对象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sz w:val="28"/>
                <w:szCs w:val="28"/>
                <w:u w:val="none"/>
                <w:lang w:eastAsia="zh-CN"/>
              </w:rPr>
              <w:t>满意度指标</w:t>
            </w:r>
          </w:p>
        </w:tc>
        <w:tc>
          <w:tcPr>
            <w:tcW w:w="38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受益对象满意度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0%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pPr w:leftFromText="180" w:rightFromText="180" w:vertAnchor="text" w:horzAnchor="page" w:tblpX="1775" w:tblpY="733"/>
        <w:tblOverlap w:val="never"/>
        <w:tblW w:w="882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682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tabs>
                <w:tab w:val="left" w:pos="1300"/>
              </w:tabs>
              <w:wordWrap/>
              <w:adjustRightInd/>
              <w:snapToGrid/>
              <w:ind w:left="210" w:leftChars="100" w:right="210" w:right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莆田市财政局办公室                   2024年12月24日印发</w:t>
            </w:r>
          </w:p>
        </w:tc>
      </w:tr>
    </w:tbl>
    <w:p>
      <w:pPr>
        <w:tabs>
          <w:tab w:val="left" w:pos="130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30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30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30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300"/>
        </w:tabs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130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Ubuntu Light">
    <w:altName w:val="Yu Gothic UI"/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tabs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Calibri" w:hAnsi="Calibri" w:eastAsia="宋体" w:cs="黑体"/>
        <w:kern w:val="2"/>
        <w:sz w:val="28"/>
        <w:szCs w:val="18"/>
        <w:lang w:val="en-US" w:eastAsia="zh-CN" w:bidi="ar-SA"/>
      </w:rPr>
      <w:pict>
        <v:shape id="_x0000_s2049" o:spid="_x0000_s1025" type="#_x0000_t202" style="position:absolute;left:0;margin-left:358.6pt;margin-top:2.35pt;height:32.65pt;width:84.25pt;mso-position-horizontal-relative:margin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  <w:wordWrap w:val="0"/>
                  <w:jc w:val="right"/>
                  <w:rPr>
                    <w:rFonts w:hint="default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</w:p>
  <w:p>
    <w:pPr>
      <w:pStyle w:val="8"/>
      <w:tabs>
        <w:tab w:val="clear" w:pos="4153"/>
        <w:tab w:val="clear" w:pos="8306"/>
      </w:tabs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_x0000_s2050" o:spid="_x0000_s1026" type="#_x0000_t202" style="position:absolute;left:0;margin-left:0pt;margin-top:-21.55pt;height:32.55pt;width:77.15pt;mso-position-horizontal-relative:margin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  <w:ind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_Style 1"/>
    <w:basedOn w:val="1"/>
    <w:link w:val="13"/>
    <w:qFormat/>
    <w:uiPriority w:val="0"/>
    <w:rPr>
      <w:szCs w:val="21"/>
    </w:rPr>
  </w:style>
  <w:style w:type="paragraph" w:customStyle="1" w:styleId="6">
    <w:name w:val="日期1"/>
    <w:basedOn w:val="1"/>
    <w:qFormat/>
    <w:uiPriority w:val="0"/>
    <w:pPr>
      <w:ind w:left="100" w:leftChars="2500"/>
    </w:pPr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 Char Char Char Char"/>
    <w:basedOn w:val="1"/>
    <w:qFormat/>
    <w:uiPriority w:val="0"/>
    <w:rPr>
      <w:szCs w:val="21"/>
    </w:rPr>
  </w:style>
  <w:style w:type="paragraph" w:customStyle="1" w:styleId="11">
    <w:name w:val="Char1 Char Char Char"/>
    <w:basedOn w:val="1"/>
    <w:qFormat/>
    <w:uiPriority w:val="0"/>
    <w:pPr>
      <w:spacing w:beforeAutospacing="0" w:after="160" w:afterAutospacing="0" w:line="240" w:lineRule="exact"/>
      <w:jc w:val="left"/>
    </w:pPr>
  </w:style>
  <w:style w:type="paragraph" w:customStyle="1" w:styleId="12">
    <w:name w:val=" Char"/>
    <w:basedOn w:val="1"/>
    <w:qFormat/>
    <w:uiPriority w:val="0"/>
    <w:pPr>
      <w:spacing w:beforeAutospacing="0" w:after="160" w:afterAutospacing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3">
    <w:name w:val="默认段落字体1"/>
    <w:link w:val="5"/>
    <w:semiHidden/>
    <w:qFormat/>
    <w:uiPriority w:val="0"/>
  </w:style>
  <w:style w:type="character" w:customStyle="1" w:styleId="14">
    <w:name w:val="页码1"/>
    <w:basedOn w:val="1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851</Words>
  <Characters>916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2022-12-14T02:08:00Z</dcterms:created>
  <dc:creator>郑秋美</dc:creator>
  <cp:lastModifiedBy>LiQing</cp:lastModifiedBy>
  <cp:lastPrinted>2024-12-25T19:33:00Z</cp:lastPrinted>
  <dcterms:modified xsi:type="dcterms:W3CDTF">2024-12-27T08:01:10Z</dcterms:modified>
  <dc:title>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03302905D227450180E5A0F0C707E22C</vt:lpwstr>
  </property>
</Properties>
</file>