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宋体" w:eastAsia="方正小标宋简体"/>
          <w:sz w:val="44"/>
          <w:szCs w:val="44"/>
        </w:rPr>
      </w:pPr>
    </w:p>
    <w:p>
      <w:pPr>
        <w:spacing w:line="640" w:lineRule="exact"/>
        <w:jc w:val="center"/>
        <w:rPr>
          <w:rFonts w:ascii="方正小标宋简体" w:hAnsi="宋体" w:eastAsia="方正小标宋简体"/>
          <w:sz w:val="44"/>
          <w:szCs w:val="44"/>
        </w:rPr>
      </w:pPr>
    </w:p>
    <w:p>
      <w:pPr>
        <w:spacing w:line="640" w:lineRule="exact"/>
        <w:jc w:val="center"/>
        <w:rPr>
          <w:rFonts w:ascii="方正小标宋简体" w:hAnsi="宋体" w:eastAsia="方正小标宋简体"/>
          <w:sz w:val="44"/>
          <w:szCs w:val="44"/>
        </w:rPr>
      </w:pPr>
    </w:p>
    <w:p>
      <w:pPr>
        <w:spacing w:line="640" w:lineRule="exact"/>
        <w:jc w:val="center"/>
        <w:rPr>
          <w:rFonts w:ascii="方正小标宋简体" w:hAnsi="宋体" w:eastAsia="方正小标宋简体"/>
          <w:sz w:val="44"/>
          <w:szCs w:val="44"/>
        </w:rPr>
      </w:pPr>
    </w:p>
    <w:p>
      <w:pPr>
        <w:spacing w:line="640" w:lineRule="exact"/>
        <w:jc w:val="center"/>
        <w:rPr>
          <w:rFonts w:ascii="方正小标宋简体" w:hAnsi="宋体" w:eastAsia="方正小标宋简体"/>
          <w:sz w:val="44"/>
          <w:szCs w:val="44"/>
        </w:rPr>
      </w:pPr>
    </w:p>
    <w:p>
      <w:pPr>
        <w:spacing w:line="640" w:lineRule="exact"/>
        <w:jc w:val="center"/>
        <w:rPr>
          <w:rFonts w:ascii="方正小标宋简体" w:hAnsi="宋体" w:eastAsia="方正小标宋简体"/>
          <w:sz w:val="44"/>
          <w:szCs w:val="44"/>
        </w:rPr>
      </w:pPr>
    </w:p>
    <w:p>
      <w:pPr>
        <w:spacing w:line="640" w:lineRule="exact"/>
        <w:jc w:val="center"/>
        <w:rPr>
          <w:rFonts w:ascii="方正小标宋简体" w:hAnsi="宋体" w:eastAsia="方正小标宋简体"/>
          <w:sz w:val="44"/>
          <w:szCs w:val="44"/>
        </w:rPr>
      </w:pPr>
    </w:p>
    <w:p>
      <w:pPr>
        <w:spacing w:line="640" w:lineRule="exact"/>
        <w:jc w:val="center"/>
        <w:rPr>
          <w:rFonts w:ascii="仿宋_GB2312" w:eastAsia="仿宋_GB2312"/>
          <w:sz w:val="32"/>
        </w:rPr>
      </w:pPr>
      <w:r>
        <w:rPr>
          <w:rFonts w:hint="eastAsia" w:ascii="仿宋_GB2312" w:eastAsia="仿宋_GB2312"/>
          <w:sz w:val="32"/>
        </w:rPr>
        <w:t>莆人社文〔20</w:t>
      </w:r>
      <w:r>
        <w:rPr>
          <w:rFonts w:hint="eastAsia" w:ascii="仿宋_GB2312" w:eastAsia="仿宋_GB2312"/>
          <w:sz w:val="32"/>
          <w:lang w:val="en-US" w:eastAsia="zh-CN"/>
        </w:rPr>
        <w:t>21</w:t>
      </w:r>
      <w:r>
        <w:rPr>
          <w:rFonts w:hint="eastAsia" w:ascii="仿宋_GB2312" w:eastAsia="仿宋_GB2312"/>
          <w:sz w:val="32"/>
        </w:rPr>
        <w:t>〕</w:t>
      </w:r>
      <w:r>
        <w:rPr>
          <w:rFonts w:hint="eastAsia" w:ascii="仿宋_GB2312" w:eastAsia="仿宋_GB2312"/>
          <w:sz w:val="32"/>
          <w:lang w:val="en-US" w:eastAsia="zh-CN"/>
        </w:rPr>
        <w:t>252</w:t>
      </w:r>
      <w:r>
        <w:rPr>
          <w:rFonts w:hint="eastAsia" w:ascii="仿宋_GB2312" w:eastAsia="仿宋_GB2312"/>
          <w:sz w:val="32"/>
        </w:rPr>
        <w:t>号</w:t>
      </w:r>
    </w:p>
    <w:p>
      <w:pPr>
        <w:spacing w:line="640" w:lineRule="exact"/>
        <w:jc w:val="center"/>
        <w:rPr>
          <w:rFonts w:ascii="方正小标宋简体" w:hAnsi="宋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莆田</w:t>
      </w:r>
      <w:r>
        <w:rPr>
          <w:rFonts w:hint="eastAsia" w:ascii="方正小标宋简体" w:eastAsia="方正小标宋简体"/>
          <w:sz w:val="44"/>
          <w:szCs w:val="44"/>
        </w:rPr>
        <w:t>市人力资源和社会保障局关于转发福建省人力资源和社会保障厅关于推动创业培训</w:t>
      </w:r>
      <w:r>
        <w:rPr>
          <w:rFonts w:ascii="方正小标宋简体" w:eastAsia="方正小标宋简体"/>
          <w:sz w:val="44"/>
          <w:szCs w:val="44"/>
        </w:rPr>
        <w:t xml:space="preserve"> </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“马兰花计划”的实施意见的通知</w:t>
      </w:r>
    </w:p>
    <w:p>
      <w:pPr>
        <w:spacing w:line="560" w:lineRule="exact"/>
        <w:jc w:val="center"/>
        <w:rPr>
          <w:rFonts w:ascii="方正小标宋简体" w:eastAsia="方正小标宋简体"/>
          <w:sz w:val="44"/>
          <w:szCs w:val="44"/>
        </w:rPr>
      </w:pPr>
    </w:p>
    <w:p>
      <w:pPr>
        <w:keepNext w:val="0"/>
        <w:keepLines w:val="0"/>
        <w:pageBreakBefore w:val="0"/>
        <w:kinsoku/>
        <w:overflowPunct/>
        <w:topLinePunct w:val="0"/>
        <w:autoSpaceDE/>
        <w:autoSpaceDN/>
        <w:bidi w:val="0"/>
        <w:adjustRightInd/>
        <w:snapToGrid/>
        <w:spacing w:line="600" w:lineRule="exact"/>
        <w:ind w:leftChars="0"/>
        <w:jc w:val="left"/>
        <w:textAlignment w:val="auto"/>
        <w:rPr>
          <w:rFonts w:ascii="仿宋_GB2312" w:eastAsia="仿宋_GB2312"/>
          <w:sz w:val="32"/>
          <w:szCs w:val="32"/>
        </w:rPr>
      </w:pPr>
      <w:r>
        <w:rPr>
          <w:rFonts w:hint="eastAsia" w:ascii="仿宋_GB2312" w:eastAsia="仿宋_GB2312"/>
          <w:sz w:val="32"/>
          <w:szCs w:val="32"/>
        </w:rPr>
        <w:t>各县(区</w:t>
      </w:r>
      <w:r>
        <w:rPr>
          <w:rFonts w:hint="eastAsia" w:ascii="仿宋_GB2312" w:eastAsia="仿宋_GB2312"/>
          <w:sz w:val="32"/>
          <w:szCs w:val="32"/>
          <w:lang w:eastAsia="zh-CN"/>
        </w:rPr>
        <w:t>、</w:t>
      </w:r>
      <w:r>
        <w:rPr>
          <w:rFonts w:hint="eastAsia" w:ascii="仿宋_GB2312" w:eastAsia="仿宋_GB2312"/>
          <w:sz w:val="32"/>
          <w:szCs w:val="32"/>
          <w:lang w:val="en-US" w:eastAsia="zh-CN"/>
        </w:rPr>
        <w:t>管委会</w:t>
      </w:r>
      <w:r>
        <w:rPr>
          <w:rFonts w:hint="eastAsia" w:ascii="仿宋_GB2312" w:eastAsia="仿宋_GB2312"/>
          <w:sz w:val="32"/>
          <w:szCs w:val="32"/>
        </w:rPr>
        <w:t>)人社局：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现将《福建省人力资源和社会保障厅关于推动创业培训“马兰花计划”的实施意见》(闽人社文〔2021〕50号)转发给你们，同时结合我市实际提出以下意见，请一并贯彻执行。</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Chars="0" w:right="0" w:righ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培训对象</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xml:space="preserve">    年满16周岁，进行过实名制登记的有创业要求和培训意愿的城乡各类劳动者，毕业年度高校毕业生（含中高职院校、技工院校）。</w:t>
      </w:r>
    </w:p>
    <w:p>
      <w:pPr>
        <w:keepNext w:val="0"/>
        <w:keepLines w:val="0"/>
        <w:pageBreakBefore w:val="0"/>
        <w:kinsoku/>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二、补贴标准</w:t>
      </w:r>
    </w:p>
    <w:p>
      <w:pPr>
        <w:keepNext w:val="0"/>
        <w:keepLines w:val="0"/>
        <w:pageBreakBefore w:val="0"/>
        <w:kinsoku/>
        <w:overflowPunct/>
        <w:topLinePunct w:val="0"/>
        <w:autoSpaceDE/>
        <w:autoSpaceDN/>
        <w:bidi w:val="0"/>
        <w:adjustRightInd/>
        <w:snapToGrid/>
        <w:spacing w:line="600" w:lineRule="exact"/>
        <w:ind w:leftChars="0" w:firstLine="640" w:firstLineChars="200"/>
        <w:jc w:val="left"/>
        <w:textAlignment w:val="auto"/>
        <w:rPr>
          <w:rFonts w:ascii="黑体" w:hAnsi="黑体" w:eastAsia="黑体"/>
          <w:sz w:val="32"/>
          <w:szCs w:val="32"/>
        </w:rPr>
      </w:pPr>
      <w:r>
        <w:rPr>
          <w:rFonts w:hint="eastAsia" w:ascii="仿宋_GB2312" w:eastAsia="仿宋_GB2312"/>
          <w:sz w:val="32"/>
          <w:szCs w:val="32"/>
        </w:rPr>
        <w:t>创业培训依据取得证书人数，SYB创业培训按1800元/人标准、网络创业培训按2000元/人标准给予培训机构补贴。</w:t>
      </w:r>
    </w:p>
    <w:p>
      <w:pPr>
        <w:keepNext w:val="0"/>
        <w:keepLines w:val="0"/>
        <w:pageBreakBefore w:val="0"/>
        <w:kinsoku/>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三、创业培训操作规程</w:t>
      </w:r>
    </w:p>
    <w:p>
      <w:pPr>
        <w:keepNext w:val="0"/>
        <w:keepLines w:val="0"/>
        <w:pageBreakBefore w:val="0"/>
        <w:numPr>
          <w:ilvl w:val="0"/>
          <w:numId w:val="0"/>
        </w:numPr>
        <w:kinsoku/>
        <w:overflowPunct/>
        <w:topLinePunct w:val="0"/>
        <w:autoSpaceDE/>
        <w:autoSpaceDN/>
        <w:bidi w:val="0"/>
        <w:adjustRightInd/>
        <w:snapToGrid/>
        <w:spacing w:line="600" w:lineRule="exact"/>
        <w:ind w:leftChars="0" w:firstLine="640" w:firstLineChars="200"/>
        <w:jc w:val="left"/>
        <w:textAlignment w:val="auto"/>
        <w:rPr>
          <w:rStyle w:val="12"/>
          <w:rFonts w:ascii="黑体" w:hAnsi="黑体" w:eastAsia="黑体"/>
          <w:sz w:val="32"/>
          <w:szCs w:val="32"/>
        </w:rPr>
      </w:pPr>
      <w:r>
        <w:rPr>
          <w:rFonts w:hint="eastAsia" w:ascii="仿宋_GB2312" w:hAnsi="黑体" w:eastAsia="仿宋_GB2312"/>
          <w:sz w:val="32"/>
          <w:szCs w:val="32"/>
          <w:lang w:val="en-US" w:eastAsia="zh-CN"/>
        </w:rPr>
        <w:t>马兰花</w:t>
      </w:r>
      <w:r>
        <w:rPr>
          <w:rFonts w:hint="eastAsia" w:ascii="仿宋_GB2312" w:hAnsi="黑体" w:eastAsia="仿宋_GB2312"/>
          <w:sz w:val="32"/>
          <w:szCs w:val="32"/>
        </w:rPr>
        <w:t>创业培训相</w:t>
      </w:r>
      <w:r>
        <w:rPr>
          <w:rStyle w:val="12"/>
          <w:rFonts w:hint="eastAsia" w:ascii="仿宋_GB2312" w:eastAsia="仿宋_GB2312"/>
          <w:sz w:val="32"/>
          <w:szCs w:val="32"/>
        </w:rPr>
        <w:t>关操作规程按照</w:t>
      </w:r>
      <w:r>
        <w:rPr>
          <w:rFonts w:hint="eastAsia" w:ascii="仿宋_GB2312" w:eastAsia="仿宋_GB2312"/>
          <w:sz w:val="32"/>
          <w:szCs w:val="32"/>
        </w:rPr>
        <w:t>《福建省人力资源和社会保障厅关于印发&lt;职业培训补贴申请操作规范（试行）&gt;的通知》（闽人社文〔2021〕116号）执行。</w:t>
      </w:r>
    </w:p>
    <w:p>
      <w:pPr>
        <w:keepNext w:val="0"/>
        <w:keepLines w:val="0"/>
        <w:pageBreakBefore w:val="0"/>
        <w:kinsoku/>
        <w:overflowPunct/>
        <w:topLinePunct w:val="0"/>
        <w:autoSpaceDE/>
        <w:autoSpaceDN/>
        <w:bidi w:val="0"/>
        <w:adjustRightInd/>
        <w:snapToGrid/>
        <w:spacing w:line="600" w:lineRule="exact"/>
        <w:ind w:leftChars="0" w:firstLine="640" w:firstLineChars="200"/>
        <w:textAlignment w:val="auto"/>
        <w:rPr>
          <w:rStyle w:val="12"/>
          <w:rFonts w:ascii="黑体" w:hAnsi="黑体" w:eastAsia="黑体"/>
          <w:sz w:val="32"/>
          <w:szCs w:val="32"/>
        </w:rPr>
      </w:pPr>
      <w:r>
        <w:rPr>
          <w:rFonts w:hint="eastAsia" w:ascii="仿宋_GB2312" w:eastAsia="仿宋_GB2312"/>
          <w:color w:val="000000" w:themeColor="text1"/>
          <w:sz w:val="32"/>
          <w:szCs w:val="32"/>
          <w14:textFill>
            <w14:solidFill>
              <w14:schemeClr w14:val="tx1"/>
            </w14:solidFill>
          </w14:textFill>
        </w:rPr>
        <w:t>各县(区</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sz w:val="32"/>
          <w:szCs w:val="32"/>
          <w:lang w:val="en-US" w:eastAsia="zh-CN"/>
        </w:rPr>
        <w:t>管委会</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rPr>
        <w:t xml:space="preserve"> 要通过人社部门网站、微信公众号、招聘活动等线上线下渠道加强创业培训政策宣传，扩大政策知晓面、覆盖面，加强创业典型宣传，营造良好的创业氛围</w:t>
      </w:r>
      <w:r>
        <w:rPr>
          <w:rStyle w:val="12"/>
          <w:rFonts w:hint="eastAsia" w:ascii="仿宋_GB2312" w:eastAsia="仿宋_GB2312"/>
          <w:sz w:val="32"/>
          <w:szCs w:val="32"/>
        </w:rPr>
        <w:t>。</w:t>
      </w:r>
    </w:p>
    <w:p>
      <w:pPr>
        <w:keepNext w:val="0"/>
        <w:keepLines w:val="0"/>
        <w:pageBreakBefore w:val="0"/>
        <w:kinsoku/>
        <w:overflowPunct/>
        <w:topLinePunct w:val="0"/>
        <w:autoSpaceDE/>
        <w:autoSpaceDN/>
        <w:bidi w:val="0"/>
        <w:adjustRightInd/>
        <w:snapToGrid/>
        <w:spacing w:line="600" w:lineRule="exact"/>
        <w:ind w:leftChars="0" w:firstLine="3520" w:firstLineChars="1100"/>
        <w:jc w:val="left"/>
        <w:textAlignment w:val="auto"/>
        <w:rPr>
          <w:rFonts w:ascii="仿宋_GB2312" w:eastAsia="仿宋_GB2312"/>
          <w:sz w:val="32"/>
          <w:szCs w:val="32"/>
        </w:rPr>
      </w:pPr>
    </w:p>
    <w:p>
      <w:pPr>
        <w:keepNext w:val="0"/>
        <w:keepLines w:val="0"/>
        <w:pageBreakBefore w:val="0"/>
        <w:kinsoku/>
        <w:overflowPunct/>
        <w:topLinePunct w:val="0"/>
        <w:autoSpaceDE/>
        <w:autoSpaceDN/>
        <w:bidi w:val="0"/>
        <w:adjustRightInd/>
        <w:snapToGrid/>
        <w:spacing w:line="600" w:lineRule="exact"/>
        <w:ind w:leftChars="0" w:firstLine="3520" w:firstLineChars="1100"/>
        <w:jc w:val="left"/>
        <w:textAlignment w:val="auto"/>
        <w:rPr>
          <w:rFonts w:ascii="仿宋_GB2312" w:eastAsia="仿宋_GB2312"/>
          <w:sz w:val="32"/>
          <w:szCs w:val="32"/>
        </w:rPr>
      </w:pPr>
    </w:p>
    <w:p>
      <w:pPr>
        <w:keepNext w:val="0"/>
        <w:keepLines w:val="0"/>
        <w:pageBreakBefore w:val="0"/>
        <w:kinsoku/>
        <w:overflowPunct/>
        <w:topLinePunct w:val="0"/>
        <w:autoSpaceDE/>
        <w:autoSpaceDN/>
        <w:bidi w:val="0"/>
        <w:adjustRightInd/>
        <w:snapToGrid/>
        <w:spacing w:line="600" w:lineRule="exact"/>
        <w:ind w:leftChars="0" w:firstLine="3520" w:firstLineChars="1100"/>
        <w:jc w:val="left"/>
        <w:textAlignment w:val="auto"/>
        <w:rPr>
          <w:rFonts w:ascii="仿宋_GB2312" w:eastAsia="仿宋_GB2312"/>
          <w:sz w:val="32"/>
          <w:szCs w:val="32"/>
        </w:rPr>
      </w:pPr>
    </w:p>
    <w:p>
      <w:pPr>
        <w:keepNext w:val="0"/>
        <w:keepLines w:val="0"/>
        <w:pageBreakBefore w:val="0"/>
        <w:kinsoku/>
        <w:overflowPunct/>
        <w:topLinePunct w:val="0"/>
        <w:autoSpaceDE/>
        <w:autoSpaceDN/>
        <w:bidi w:val="0"/>
        <w:adjustRightInd/>
        <w:snapToGrid/>
        <w:spacing w:line="600" w:lineRule="exact"/>
        <w:ind w:leftChars="0" w:firstLine="3520" w:firstLineChars="1100"/>
        <w:jc w:val="left"/>
        <w:textAlignment w:val="auto"/>
        <w:rPr>
          <w:rFonts w:ascii="仿宋_GB2312" w:eastAsia="仿宋_GB2312"/>
          <w:sz w:val="32"/>
          <w:szCs w:val="32"/>
        </w:rPr>
      </w:pPr>
    </w:p>
    <w:p>
      <w:pPr>
        <w:keepNext w:val="0"/>
        <w:keepLines w:val="0"/>
        <w:pageBreakBefore w:val="0"/>
        <w:kinsoku/>
        <w:overflowPunct/>
        <w:topLinePunct w:val="0"/>
        <w:autoSpaceDE/>
        <w:autoSpaceDN/>
        <w:bidi w:val="0"/>
        <w:adjustRightInd/>
        <w:snapToGrid/>
        <w:spacing w:line="600" w:lineRule="exact"/>
        <w:ind w:leftChars="0" w:firstLine="3520" w:firstLineChars="1100"/>
        <w:jc w:val="left"/>
        <w:textAlignment w:val="auto"/>
        <w:rPr>
          <w:rFonts w:ascii="黑体" w:hAnsi="黑体" w:eastAsia="黑体"/>
          <w:sz w:val="32"/>
          <w:szCs w:val="32"/>
        </w:rPr>
      </w:pPr>
      <w:r>
        <w:rPr>
          <w:rFonts w:hint="eastAsia" w:ascii="仿宋_GB2312" w:eastAsia="仿宋_GB2312"/>
          <w:sz w:val="32"/>
          <w:szCs w:val="32"/>
          <w:lang w:val="en-US" w:eastAsia="zh-CN"/>
        </w:rPr>
        <w:t>莆田</w:t>
      </w:r>
      <w:r>
        <w:rPr>
          <w:rFonts w:hint="eastAsia" w:ascii="仿宋_GB2312" w:eastAsia="仿宋_GB2312"/>
          <w:sz w:val="32"/>
          <w:szCs w:val="32"/>
        </w:rPr>
        <w:t>市人力资源和社会保障局</w:t>
      </w:r>
    </w:p>
    <w:p>
      <w:pPr>
        <w:keepNext w:val="0"/>
        <w:keepLines w:val="0"/>
        <w:pageBreakBefore w:val="0"/>
        <w:kinsoku/>
        <w:overflowPunct/>
        <w:topLinePunct w:val="0"/>
        <w:autoSpaceDE/>
        <w:autoSpaceDN/>
        <w:bidi w:val="0"/>
        <w:adjustRightInd/>
        <w:snapToGrid/>
        <w:spacing w:line="600" w:lineRule="exact"/>
        <w:ind w:leftChars="0"/>
        <w:jc w:val="left"/>
        <w:textAlignment w:val="auto"/>
        <w:rPr>
          <w:rFonts w:ascii="仿宋_GB2312" w:eastAsia="仿宋_GB2312"/>
          <w:sz w:val="32"/>
          <w:szCs w:val="32"/>
        </w:rPr>
      </w:pPr>
      <w:r>
        <w:rPr>
          <w:rFonts w:hint="eastAsia" w:ascii="仿宋_GB2312" w:eastAsia="仿宋_GB2312"/>
          <w:sz w:val="32"/>
          <w:szCs w:val="32"/>
        </w:rPr>
        <w:t xml:space="preserve">                           2021年1</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w:t>
      </w:r>
    </w:p>
    <w:p>
      <w:pPr>
        <w:keepNext w:val="0"/>
        <w:keepLines w:val="0"/>
        <w:pageBreakBefore w:val="0"/>
        <w:kinsoku/>
        <w:overflowPunct/>
        <w:topLinePunct w:val="0"/>
        <w:autoSpaceDE/>
        <w:autoSpaceDN/>
        <w:bidi w:val="0"/>
        <w:adjustRightInd/>
        <w:snapToGrid/>
        <w:spacing w:line="600" w:lineRule="exact"/>
        <w:ind w:leftChars="0"/>
        <w:jc w:val="left"/>
        <w:textAlignment w:val="auto"/>
        <w:rPr>
          <w:rFonts w:ascii="仿宋_GB2312" w:eastAsia="仿宋_GB2312"/>
          <w:sz w:val="32"/>
          <w:szCs w:val="32"/>
        </w:rPr>
      </w:pPr>
      <w:r>
        <w:rPr>
          <w:rFonts w:hint="eastAsia" w:ascii="仿宋_GB2312" w:eastAsia="仿宋_GB2312"/>
          <w:sz w:val="32"/>
          <w:szCs w:val="32"/>
        </w:rPr>
        <w:t xml:space="preserve"> （此件主动公开）</w:t>
      </w:r>
    </w:p>
    <w:p>
      <w:pPr>
        <w:snapToGrid w:val="0"/>
        <w:spacing w:line="596" w:lineRule="exact"/>
        <w:jc w:val="center"/>
        <w:textAlignment w:val="top"/>
        <w:rPr>
          <w:rFonts w:ascii="方正小标宋简体" w:hAnsi="宋体" w:eastAsia="方正小标宋简体"/>
          <w:sz w:val="44"/>
          <w:szCs w:val="44"/>
        </w:rPr>
      </w:pPr>
    </w:p>
    <w:p>
      <w:pPr>
        <w:snapToGrid w:val="0"/>
        <w:spacing w:line="596" w:lineRule="exact"/>
        <w:jc w:val="center"/>
        <w:textAlignment w:val="top"/>
        <w:rPr>
          <w:rFonts w:ascii="方正小标宋简体" w:hAnsi="宋体" w:eastAsia="方正小标宋简体"/>
          <w:sz w:val="44"/>
          <w:szCs w:val="44"/>
        </w:rPr>
      </w:pPr>
    </w:p>
    <w:p>
      <w:pPr>
        <w:snapToGrid w:val="0"/>
        <w:spacing w:line="596" w:lineRule="exact"/>
        <w:jc w:val="center"/>
        <w:textAlignment w:val="top"/>
        <w:rPr>
          <w:rFonts w:ascii="方正小标宋简体" w:hAnsi="宋体" w:eastAsia="方正小标宋简体"/>
          <w:sz w:val="44"/>
          <w:szCs w:val="44"/>
        </w:rPr>
      </w:pPr>
    </w:p>
    <w:p>
      <w:pPr>
        <w:snapToGrid w:val="0"/>
        <w:spacing w:line="596" w:lineRule="exact"/>
        <w:jc w:val="center"/>
        <w:textAlignment w:val="top"/>
        <w:rPr>
          <w:rFonts w:ascii="方正小标宋简体" w:hAnsi="宋体" w:eastAsia="方正小标宋简体"/>
          <w:sz w:val="44"/>
          <w:szCs w:val="44"/>
        </w:rPr>
      </w:pPr>
    </w:p>
    <w:p>
      <w:pPr>
        <w:snapToGrid w:val="0"/>
        <w:spacing w:line="596" w:lineRule="exact"/>
        <w:jc w:val="center"/>
        <w:textAlignment w:val="top"/>
        <w:rPr>
          <w:rFonts w:ascii="方正小标宋简体" w:hAnsi="宋体" w:eastAsia="方正小标宋简体"/>
          <w:sz w:val="44"/>
          <w:szCs w:val="44"/>
        </w:rPr>
      </w:pPr>
    </w:p>
    <w:p>
      <w:pPr>
        <w:snapToGrid w:val="0"/>
        <w:spacing w:line="596" w:lineRule="exact"/>
        <w:jc w:val="center"/>
        <w:textAlignment w:val="top"/>
        <w:rPr>
          <w:rFonts w:ascii="方正小标宋简体" w:hAnsi="宋体" w:eastAsia="方正小标宋简体"/>
          <w:sz w:val="44"/>
          <w:szCs w:val="44"/>
        </w:rPr>
      </w:pPr>
    </w:p>
    <w:p>
      <w:pPr>
        <w:snapToGrid w:val="0"/>
        <w:spacing w:line="596" w:lineRule="exact"/>
        <w:jc w:val="both"/>
        <w:textAlignment w:val="top"/>
        <w:rPr>
          <w:rFonts w:ascii="方正小标宋简体" w:hAnsi="宋体" w:eastAsia="方正小标宋简体"/>
          <w:sz w:val="44"/>
          <w:szCs w:val="44"/>
        </w:rPr>
      </w:pPr>
    </w:p>
    <w:p>
      <w:pPr>
        <w:snapToGrid w:val="0"/>
        <w:spacing w:line="596" w:lineRule="exact"/>
        <w:jc w:val="center"/>
        <w:textAlignment w:val="top"/>
        <w:rPr>
          <w:rFonts w:ascii="方正小标宋简体" w:hAnsi="宋体" w:eastAsia="方正小标宋简体"/>
          <w:sz w:val="44"/>
          <w:szCs w:val="44"/>
        </w:rPr>
      </w:pPr>
      <w:r>
        <w:rPr>
          <w:rFonts w:hint="eastAsia" w:ascii="方正小标宋简体" w:hAnsi="宋体" w:eastAsia="方正小标宋简体"/>
          <w:sz w:val="44"/>
          <w:szCs w:val="44"/>
        </w:rPr>
        <w:t>福建省人力资源和社会保障厅关于推动创业</w:t>
      </w:r>
    </w:p>
    <w:p>
      <w:pPr>
        <w:snapToGrid w:val="0"/>
        <w:spacing w:line="596" w:lineRule="exact"/>
        <w:jc w:val="center"/>
        <w:textAlignment w:val="top"/>
        <w:rPr>
          <w:rFonts w:ascii="方正小标宋简体" w:hAnsi="宋体" w:eastAsia="方正小标宋简体"/>
          <w:sz w:val="44"/>
          <w:szCs w:val="44"/>
        </w:rPr>
      </w:pPr>
      <w:r>
        <w:rPr>
          <w:rFonts w:hint="eastAsia" w:ascii="方正小标宋简体" w:hAnsi="宋体" w:eastAsia="方正小标宋简体"/>
          <w:sz w:val="44"/>
          <w:szCs w:val="44"/>
        </w:rPr>
        <w:t>培训“马兰花计划”的实施意见</w:t>
      </w:r>
    </w:p>
    <w:p>
      <w:pPr>
        <w:snapToGrid w:val="0"/>
        <w:spacing w:line="596" w:lineRule="exact"/>
        <w:jc w:val="center"/>
        <w:textAlignment w:val="top"/>
        <w:rPr>
          <w:rFonts w:ascii="仿宋_GB2312" w:hAnsi="宋体" w:eastAsia="仿宋_GB2312"/>
          <w:sz w:val="32"/>
          <w:szCs w:val="24"/>
        </w:rPr>
      </w:pPr>
      <w:r>
        <w:rPr>
          <w:rFonts w:hint="eastAsia" w:ascii="仿宋_GB2312" w:hAnsi="宋体" w:eastAsia="仿宋_GB2312"/>
          <w:sz w:val="32"/>
          <w:szCs w:val="24"/>
        </w:rPr>
        <w:t>闽人社文〔2021〕50号</w:t>
      </w:r>
    </w:p>
    <w:p>
      <w:pPr>
        <w:snapToGrid w:val="0"/>
        <w:spacing w:line="596" w:lineRule="exact"/>
        <w:jc w:val="center"/>
        <w:textAlignment w:val="top"/>
        <w:rPr>
          <w:rFonts w:ascii="仿宋_GB2312" w:hAnsi="宋体" w:eastAsia="仿宋_GB2312"/>
          <w:sz w:val="32"/>
          <w:szCs w:val="24"/>
        </w:rPr>
      </w:pPr>
    </w:p>
    <w:p>
      <w:pPr>
        <w:pStyle w:val="3"/>
        <w:spacing w:line="560" w:lineRule="exact"/>
        <w:textAlignment w:val="top"/>
        <w:rPr>
          <w:rFonts w:hAnsi="仿宋_GB2312" w:cs="仿宋_GB2312"/>
          <w:szCs w:val="32"/>
        </w:rPr>
      </w:pPr>
      <w:r>
        <w:rPr>
          <w:rFonts w:hint="eastAsia" w:hAnsi="仿宋_GB2312" w:cs="仿宋_GB2312"/>
          <w:szCs w:val="32"/>
        </w:rPr>
        <w:t>各设区市人力资源和社会保障局，平潭综合实验区社会事业局：</w:t>
      </w:r>
      <w:bookmarkStart w:id="0" w:name="Body"/>
      <w:bookmarkEnd w:id="0"/>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贯彻《人力资源社会保障部关于实施职业技能提升行动创业培训“马兰花计划”的通知》（人社部函〔2020〕109号）有关精神，落实好创业培训“马兰花计划”,提升劳动者就业创业能力，促进劳动者成功创业，稳定扩大就业。现将有关要求通知如下：</w:t>
      </w:r>
    </w:p>
    <w:p>
      <w:pPr>
        <w:numPr>
          <w:ilvl w:val="0"/>
          <w:numId w:val="2"/>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培训项目</w:t>
      </w:r>
    </w:p>
    <w:p>
      <w:pPr>
        <w:numPr>
          <w:ilvl w:val="0"/>
          <w:numId w:val="3"/>
        </w:numPr>
        <w:spacing w:line="560" w:lineRule="exact"/>
        <w:ind w:firstLine="640"/>
        <w:rPr>
          <w:rFonts w:ascii="仿宋_GB2312" w:hAnsi="仿宋_GB2312" w:eastAsia="仿宋_GB2312" w:cs="仿宋_GB2312"/>
          <w:sz w:val="32"/>
          <w:szCs w:val="32"/>
        </w:rPr>
      </w:pPr>
      <w:r>
        <w:rPr>
          <w:rFonts w:hint="eastAsia" w:ascii="仿宋_GB2312" w:hAnsi="楷体_GB2312" w:eastAsia="仿宋_GB2312" w:cs="楷体_GB2312"/>
          <w:sz w:val="32"/>
          <w:szCs w:val="32"/>
        </w:rPr>
        <w:t>创办和改善你的企业“SIYB”创业培训课程体系中的创办你的企业“SYB”创业培训。</w:t>
      </w:r>
      <w:r>
        <w:rPr>
          <w:rFonts w:hint="eastAsia" w:ascii="仿宋_GB2312" w:hAnsi="仿宋_GB2312" w:eastAsia="仿宋_GB2312" w:cs="仿宋_GB2312"/>
          <w:sz w:val="32"/>
          <w:szCs w:val="32"/>
        </w:rPr>
        <w:t>主要针对线下实体创业者进行市场评估、人员组织、企业法律、资金需求、利润计划，企业生存等方面教学研讨。</w:t>
      </w:r>
    </w:p>
    <w:p>
      <w:pPr>
        <w:numPr>
          <w:ilvl w:val="0"/>
          <w:numId w:val="3"/>
        </w:numPr>
        <w:spacing w:line="560" w:lineRule="exact"/>
        <w:ind w:firstLine="640"/>
        <w:rPr>
          <w:rFonts w:ascii="仿宋_GB2312" w:hAnsi="仿宋_GB2312" w:eastAsia="仿宋_GB2312" w:cs="仿宋_GB2312"/>
          <w:sz w:val="32"/>
          <w:szCs w:val="32"/>
        </w:rPr>
      </w:pPr>
      <w:r>
        <w:rPr>
          <w:rFonts w:hint="eastAsia" w:ascii="仿宋_GB2312" w:hAnsi="楷体_GB2312" w:eastAsia="仿宋_GB2312" w:cs="楷体_GB2312"/>
          <w:sz w:val="32"/>
          <w:szCs w:val="32"/>
        </w:rPr>
        <w:t>创办和改善你的企业“SIYB”创业培训课程体系中的网络创业培训。</w:t>
      </w:r>
      <w:r>
        <w:rPr>
          <w:rFonts w:hint="eastAsia" w:ascii="仿宋_GB2312" w:hAnsi="仿宋_GB2312" w:eastAsia="仿宋_GB2312" w:cs="仿宋_GB2312"/>
          <w:sz w:val="32"/>
          <w:szCs w:val="32"/>
        </w:rPr>
        <w:t>依托网络创业培训教学辅助平台，针对网络创业者进行电商平台运营规则、电商平台模拟实操、直播销售等方面教学研讨。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上述培训项目统称“马兰花创业培训”。</w:t>
      </w:r>
    </w:p>
    <w:p>
      <w:pPr>
        <w:numPr>
          <w:ilvl w:val="0"/>
          <w:numId w:val="2"/>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培训机构和对象</w:t>
      </w:r>
    </w:p>
    <w:p>
      <w:pPr>
        <w:spacing w:line="560"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（一）培训机构</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具有培训业务管理制度、工作条例和监督体系，并配备相应工作人员，具备符合技术要点要求的培训场地和设备设施，至少聘用2名持有“马兰花创业培训”师资资格的专（兼）职教师的机构，可通过政府购买服务方式确定为“马兰花创业培训”机构。</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“马兰花创业培训”业务具体承办机构，不可将“马兰花创业培训”业务以任何形式转包第三方，一经发现存在转包等情况，取消其开展“马兰花创业培训”业务资质。</w:t>
      </w:r>
    </w:p>
    <w:p>
      <w:pPr>
        <w:spacing w:line="560" w:lineRule="exact"/>
        <w:ind w:firstLine="64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（二）培训对象</w:t>
      </w:r>
    </w:p>
    <w:p>
      <w:pPr>
        <w:spacing w:line="560" w:lineRule="exact"/>
        <w:ind w:firstLine="665"/>
        <w:rPr>
          <w:rFonts w:ascii="仿宋_GB2312" w:hAnsi="仿宋_GB2312" w:eastAsia="仿宋_GB2312" w:cs="仿宋_GB2312"/>
          <w:sz w:val="32"/>
          <w:szCs w:val="32"/>
        </w:rPr>
      </w:pPr>
      <w:r>
        <w:rPr>
          <w:rFonts w:hint="eastAsia" w:ascii="仿宋_GB2312" w:hAnsi="仿宋_GB2312" w:eastAsia="仿宋_GB2312" w:cs="仿宋_GB2312"/>
          <w:sz w:val="32"/>
          <w:szCs w:val="32"/>
        </w:rPr>
        <w:t>年满16周岁,进行过实名制登记的有创业要求和培训意愿的城乡各类劳动者。</w:t>
      </w:r>
    </w:p>
    <w:p>
      <w:pPr>
        <w:numPr>
          <w:ilvl w:val="0"/>
          <w:numId w:val="2"/>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培训规范</w:t>
      </w:r>
    </w:p>
    <w:p>
      <w:pPr>
        <w:spacing w:line="560" w:lineRule="exact"/>
        <w:ind w:firstLine="64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（一）培训教材和师资</w:t>
      </w:r>
    </w:p>
    <w:p>
      <w:pPr>
        <w:spacing w:line="560" w:lineRule="exact"/>
        <w:ind w:firstLine="665"/>
        <w:rPr>
          <w:rFonts w:ascii="仿宋_GB2312" w:hAnsi="仿宋_GB2312" w:eastAsia="仿宋_GB2312" w:cs="仿宋_GB2312"/>
          <w:sz w:val="32"/>
          <w:szCs w:val="32"/>
        </w:rPr>
      </w:pPr>
      <w:r>
        <w:rPr>
          <w:rFonts w:hint="eastAsia" w:ascii="仿宋_GB2312" w:hAnsi="仿宋_GB2312" w:eastAsia="仿宋_GB2312" w:cs="仿宋_GB2312"/>
          <w:sz w:val="32"/>
          <w:szCs w:val="32"/>
        </w:rPr>
        <w:t>1.培训教材。“马兰花创业培训”应统一使用由中国就业培训技术指导中心编写，中国劳动社会保障出版社出版发行的马兰花“SYB”创业培训和马兰花网络创业培训课程教材。</w:t>
      </w:r>
    </w:p>
    <w:p>
      <w:pPr>
        <w:spacing w:line="560" w:lineRule="exact"/>
        <w:ind w:firstLine="665"/>
        <w:rPr>
          <w:rFonts w:ascii="仿宋_GB2312" w:hAnsi="仿宋_GB2312" w:eastAsia="仿宋_GB2312" w:cs="仿宋_GB2312"/>
          <w:sz w:val="32"/>
          <w:szCs w:val="32"/>
        </w:rPr>
      </w:pPr>
      <w:r>
        <w:rPr>
          <w:rFonts w:hint="eastAsia" w:ascii="仿宋_GB2312" w:hAnsi="仿宋_GB2312" w:eastAsia="仿宋_GB2312" w:cs="仿宋_GB2312"/>
          <w:sz w:val="32"/>
          <w:szCs w:val="32"/>
        </w:rPr>
        <w:t>2.培训师资。每期“马兰花创业培训”班应至少安排2名“马兰花创业培训”师资从事主讲授课任务。“马兰花创业培训”主讲教师应参加过“马兰花创业培训”师资培训班，并取得“马兰花创业培训”师资资格。</w:t>
      </w:r>
    </w:p>
    <w:p>
      <w:pPr>
        <w:spacing w:line="560" w:lineRule="exact"/>
        <w:ind w:firstLine="640"/>
        <w:jc w:val="left"/>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（二）培训方式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1.传统模式。“马兰花创业培训”机构可通过传统模式，采用面授、互动交流、经验分享、沙盘演练等教学手段开展传统线下教学授课。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线上线下相结合模式。对能较熟练使用线上学习模式的参训学员，鼓励“马兰花创业培训”机构创新培训方式，采用“线下+线上”的“马兰花创业培训”新模式，开展培训教学。马兰花“SYB”创业培训线下课时不低于总课时的70%,马兰花网络创业培训线下课时不低于总课时的50%。</w:t>
      </w:r>
    </w:p>
    <w:p>
      <w:pPr>
        <w:numPr>
          <w:ilvl w:val="0"/>
          <w:numId w:val="3"/>
        </w:numPr>
        <w:spacing w:line="560" w:lineRule="exact"/>
        <w:ind w:firstLine="64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rPr>
        <w:t>培训学时。</w:t>
      </w:r>
      <w:r>
        <w:rPr>
          <w:rFonts w:hint="eastAsia" w:ascii="仿宋_GB2312" w:hAnsi="仿宋_GB2312" w:eastAsia="仿宋_GB2312" w:cs="仿宋_GB2312"/>
          <w:sz w:val="32"/>
          <w:szCs w:val="32"/>
        </w:rPr>
        <w:t>每期“马兰花创业培训”班应至少达到7天（56个学时）。</w:t>
      </w:r>
    </w:p>
    <w:p>
      <w:pPr>
        <w:numPr>
          <w:ilvl w:val="0"/>
          <w:numId w:val="3"/>
        </w:numPr>
        <w:spacing w:line="560" w:lineRule="exact"/>
        <w:ind w:firstLine="640"/>
        <w:rPr>
          <w:rFonts w:ascii="仿宋_GB2312" w:hAnsi="仿宋_GB2312" w:eastAsia="仿宋_GB2312" w:cs="仿宋_GB2312"/>
          <w:sz w:val="32"/>
          <w:szCs w:val="32"/>
        </w:rPr>
      </w:pPr>
      <w:r>
        <w:rPr>
          <w:rFonts w:hint="eastAsia" w:ascii="楷体_GB2312" w:hAnsi="楷体_GB2312" w:eastAsia="楷体_GB2312" w:cs="楷体_GB2312"/>
          <w:sz w:val="32"/>
          <w:szCs w:val="32"/>
        </w:rPr>
        <w:t>培训人数。</w:t>
      </w:r>
      <w:r>
        <w:rPr>
          <w:rFonts w:hint="eastAsia" w:ascii="仿宋_GB2312" w:hAnsi="仿宋_GB2312" w:eastAsia="仿宋_GB2312" w:cs="仿宋_GB2312"/>
          <w:sz w:val="32"/>
          <w:szCs w:val="32"/>
        </w:rPr>
        <w:t>每期“马兰花创业培训”班学员不得超过30人。</w:t>
      </w:r>
    </w:p>
    <w:p>
      <w:pPr>
        <w:numPr>
          <w:ilvl w:val="0"/>
          <w:numId w:val="3"/>
        </w:numPr>
        <w:spacing w:line="560" w:lineRule="exact"/>
        <w:ind w:firstLine="640"/>
        <w:rPr>
          <w:rFonts w:ascii="仿宋_GB2312" w:hAnsi="仿宋_GB2312" w:eastAsia="仿宋_GB2312" w:cs="仿宋_GB2312"/>
          <w:sz w:val="32"/>
          <w:szCs w:val="32"/>
        </w:rPr>
      </w:pPr>
      <w:r>
        <w:rPr>
          <w:rFonts w:hint="eastAsia" w:ascii="楷体_GB2312" w:hAnsi="楷体_GB2312" w:eastAsia="楷体_GB2312" w:cs="楷体_GB2312"/>
          <w:sz w:val="32"/>
          <w:szCs w:val="32"/>
        </w:rPr>
        <w:t>考勤管理。</w:t>
      </w:r>
      <w:r>
        <w:rPr>
          <w:rFonts w:hint="eastAsia" w:ascii="仿宋_GB2312" w:hAnsi="仿宋_GB2312" w:eastAsia="仿宋_GB2312" w:cs="仿宋_GB2312"/>
          <w:sz w:val="32"/>
          <w:szCs w:val="32"/>
        </w:rPr>
        <w:t>每位学员参加“马兰花创业培训”请假缺勤达到2个半天做未结业处理，当年不得再报名参加“马兰花创业培训”，次年可重新报名。</w:t>
      </w:r>
    </w:p>
    <w:p>
      <w:pPr>
        <w:numPr>
          <w:ilvl w:val="0"/>
          <w:numId w:val="3"/>
        </w:numPr>
        <w:spacing w:line="560" w:lineRule="exact"/>
        <w:ind w:firstLine="640"/>
        <w:rPr>
          <w:rFonts w:ascii="仿宋_GB2312" w:hAnsi="仿宋_GB2312" w:eastAsia="仿宋_GB2312" w:cs="仿宋_GB2312"/>
          <w:sz w:val="32"/>
          <w:szCs w:val="32"/>
        </w:rPr>
      </w:pPr>
      <w:r>
        <w:rPr>
          <w:rFonts w:hint="eastAsia" w:ascii="楷体_GB2312" w:hAnsi="楷体_GB2312" w:eastAsia="楷体_GB2312" w:cs="楷体_GB2312"/>
          <w:sz w:val="32"/>
          <w:szCs w:val="32"/>
        </w:rPr>
        <w:t>考核认定。</w:t>
      </w:r>
      <w:r>
        <w:rPr>
          <w:rFonts w:hint="eastAsia" w:ascii="仿宋_GB2312" w:hAnsi="仿宋_GB2312" w:eastAsia="仿宋_GB2312" w:cs="仿宋_GB2312"/>
          <w:sz w:val="32"/>
          <w:szCs w:val="32"/>
        </w:rPr>
        <w:t>马兰花“SYB”创业培训考核认定成果,以当期两位主讲教师均判定《创业计划书》合格，即可视为培训合格；马兰花网络创业培训考核认定成果,以通过网络创业培训教学辅助平台进行理论考试、提交实践成果，撰写店铺规划书，由相关教师进行打分或评定，成绩合格者，即可视为培训合格。马兰花“SYB”创业培训、马兰花网络创业培训两项培训内容，参训学员当年度只可报名参加其中一项，培训合格学员不可再重复报名参训。</w:t>
      </w:r>
    </w:p>
    <w:p>
      <w:pPr>
        <w:numPr>
          <w:ilvl w:val="0"/>
          <w:numId w:val="0"/>
        </w:numPr>
        <w:spacing w:line="560" w:lineRule="exact"/>
        <w:ind w:left="640" w:leftChars="0"/>
        <w:rPr>
          <w:rFonts w:hint="eastAsia" w:ascii="黑体" w:hAnsi="黑体" w:eastAsia="黑体" w:cs="黑体"/>
          <w:sz w:val="32"/>
          <w:szCs w:val="32"/>
        </w:rPr>
      </w:pPr>
      <w:r>
        <w:rPr>
          <w:rFonts w:hint="eastAsia" w:ascii="黑体" w:hAnsi="黑体" w:eastAsia="黑体" w:cs="黑体"/>
          <w:sz w:val="32"/>
          <w:szCs w:val="32"/>
        </w:rPr>
        <w:t>四、创业服务</w:t>
      </w:r>
    </w:p>
    <w:p>
      <w:pPr>
        <w:spacing w:line="560" w:lineRule="exact"/>
        <w:ind w:firstLine="640"/>
        <w:rPr>
          <w:rFonts w:ascii="仿宋_GB2312" w:hAnsi="仿宋_GB2312" w:eastAsia="仿宋_GB2312" w:cs="仿宋_GB2312"/>
          <w:sz w:val="32"/>
          <w:szCs w:val="32"/>
        </w:rPr>
      </w:pPr>
      <w:r>
        <w:rPr>
          <w:rFonts w:hint="eastAsia" w:ascii="楷体_GB2312" w:hAnsi="楷体_GB2312" w:eastAsia="楷体_GB2312" w:cs="楷体_GB2312"/>
          <w:sz w:val="32"/>
          <w:szCs w:val="32"/>
        </w:rPr>
        <w:t>（一）服务对象。</w:t>
      </w:r>
      <w:r>
        <w:rPr>
          <w:rFonts w:hint="eastAsia" w:ascii="仿宋_GB2312" w:hAnsi="仿宋_GB2312" w:eastAsia="仿宋_GB2312" w:cs="仿宋_GB2312"/>
          <w:sz w:val="32"/>
          <w:szCs w:val="32"/>
        </w:rPr>
        <w:t>参加“马兰花创业培训”并取得培训合格证书的人员。</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（二）服务方式。</w:t>
      </w:r>
      <w:r>
        <w:rPr>
          <w:rFonts w:hint="eastAsia" w:ascii="仿宋_GB2312" w:hAnsi="仿宋_GB2312" w:eastAsia="仿宋_GB2312" w:cs="仿宋_GB2312"/>
          <w:sz w:val="32"/>
          <w:szCs w:val="32"/>
        </w:rPr>
        <w:t>各地可通过政府购买服务方式选择马兰花创业服务机构开展创业服务，也可依托我省创业就业金融服务中心开展创业服务。</w:t>
      </w:r>
    </w:p>
    <w:p>
      <w:pPr>
        <w:spacing w:line="560" w:lineRule="exact"/>
        <w:ind w:firstLine="640"/>
        <w:rPr>
          <w:rFonts w:ascii="仿宋_GB2312" w:hAnsi="仿宋_GB2312" w:eastAsia="仿宋_GB2312" w:cs="仿宋_GB2312"/>
          <w:sz w:val="32"/>
          <w:szCs w:val="32"/>
        </w:rPr>
      </w:pPr>
      <w:r>
        <w:rPr>
          <w:rFonts w:hint="eastAsia" w:ascii="楷体_GB2312" w:hAnsi="楷体_GB2312" w:eastAsia="楷体_GB2312" w:cs="楷体_GB2312"/>
          <w:sz w:val="32"/>
          <w:szCs w:val="32"/>
        </w:rPr>
        <w:t>（三）服务成功认定。</w:t>
      </w:r>
      <w:r>
        <w:rPr>
          <w:rFonts w:hint="eastAsia" w:ascii="仿宋_GB2312" w:hAnsi="仿宋_GB2312" w:eastAsia="仿宋_GB2312" w:cs="仿宋_GB2312"/>
          <w:sz w:val="32"/>
          <w:szCs w:val="32"/>
        </w:rPr>
        <w:t>在福建省行政区域内使用本人身份信息注册创办企业、个体工商户、农业合作社、网店等并担任法定代表人的，视为创业服务成功。</w:t>
      </w:r>
    </w:p>
    <w:p>
      <w:pPr>
        <w:spacing w:line="560" w:lineRule="exact"/>
        <w:ind w:firstLine="640"/>
        <w:rPr>
          <w:rFonts w:ascii="仿宋_GB2312" w:hAnsi="仿宋_GB2312" w:eastAsia="仿宋_GB2312" w:cs="仿宋_GB2312"/>
          <w:sz w:val="32"/>
          <w:szCs w:val="32"/>
        </w:rPr>
      </w:pPr>
      <w:r>
        <w:rPr>
          <w:rFonts w:hint="eastAsia" w:ascii="楷体_GB2312" w:hAnsi="楷体_GB2312" w:eastAsia="楷体_GB2312" w:cs="楷体_GB2312"/>
          <w:sz w:val="32"/>
          <w:szCs w:val="32"/>
        </w:rPr>
        <w:t>（四）服务时限。</w:t>
      </w:r>
      <w:r>
        <w:rPr>
          <w:rFonts w:hint="eastAsia" w:ascii="仿宋_GB2312" w:hAnsi="仿宋_GB2312" w:eastAsia="仿宋_GB2312" w:cs="仿宋_GB2312"/>
          <w:sz w:val="32"/>
          <w:szCs w:val="32"/>
        </w:rPr>
        <w:t>每位“马兰花创业培训”培训合格人员根据自身创业意愿和需求，可享受为期不超过6个月的免费创业服务。</w:t>
      </w:r>
    </w:p>
    <w:p>
      <w:pPr>
        <w:spacing w:line="560" w:lineRule="exact"/>
        <w:rPr>
          <w:rFonts w:ascii="仿宋_GB2312" w:hAnsi="黑体" w:eastAsia="仿宋_GB2312" w:cs="黑体"/>
          <w:sz w:val="32"/>
          <w:szCs w:val="32"/>
        </w:rPr>
      </w:pPr>
      <w:r>
        <w:rPr>
          <w:rFonts w:hint="eastAsia" w:ascii="仿宋_GB2312" w:hAnsi="黑体" w:eastAsia="仿宋_GB2312" w:cs="黑体"/>
          <w:sz w:val="32"/>
          <w:szCs w:val="32"/>
        </w:rPr>
        <w:t>　　</w:t>
      </w:r>
      <w:r>
        <w:rPr>
          <w:rFonts w:hint="eastAsia" w:ascii="黑体" w:hAnsi="黑体" w:eastAsia="黑体" w:cs="黑体"/>
          <w:sz w:val="32"/>
          <w:szCs w:val="32"/>
        </w:rPr>
        <w:t>五、“试创业”实践活动</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鼓励支持开展“马兰花创业培训”业务的高等院校、职业院校、技工院校，进行“试创业”实践活动。院校可通过自行开发、学生建议、社会申请等多方式收集“试创业”项目。依托院校拥有自主产权并具备经营条件的产地开展“试创业”实践活动。</w:t>
      </w:r>
    </w:p>
    <w:p>
      <w:pPr>
        <w:spacing w:line="560" w:lineRule="exact"/>
        <w:rPr>
          <w:rFonts w:ascii="仿宋_GB2312" w:hAnsi="仿宋_GB2312" w:eastAsia="仿宋_GB2312" w:cs="仿宋_GB2312"/>
          <w:sz w:val="32"/>
          <w:szCs w:val="32"/>
        </w:rPr>
      </w:pPr>
      <w:r>
        <w:rPr>
          <w:rFonts w:hint="eastAsia" w:ascii="仿宋_GB2312" w:hAnsi="楷体_GB2312" w:eastAsia="仿宋_GB2312" w:cs="楷体_GB2312"/>
          <w:sz w:val="32"/>
          <w:szCs w:val="32"/>
        </w:rPr>
        <w:t>　　</w:t>
      </w:r>
      <w:r>
        <w:rPr>
          <w:rFonts w:hint="eastAsia" w:ascii="楷体_GB2312" w:hAnsi="楷体_GB2312" w:eastAsia="楷体_GB2312" w:cs="楷体_GB2312"/>
          <w:sz w:val="32"/>
          <w:szCs w:val="32"/>
        </w:rPr>
        <w:t>（一）“试创业”对象。</w:t>
      </w:r>
      <w:r>
        <w:rPr>
          <w:rFonts w:hint="eastAsia" w:ascii="仿宋_GB2312" w:hAnsi="仿宋_GB2312" w:eastAsia="仿宋_GB2312" w:cs="仿宋_GB2312"/>
          <w:sz w:val="32"/>
          <w:szCs w:val="32"/>
        </w:rPr>
        <w:t>参加“马兰花创业培训”并取得培训合格证书的高等院校、职业院校、技工院校毕业学年本校全日制在校学生。</w:t>
      </w:r>
    </w:p>
    <w:p>
      <w:pPr>
        <w:spacing w:line="560" w:lineRule="exact"/>
        <w:ind w:firstLine="642"/>
        <w:rPr>
          <w:rFonts w:ascii="仿宋_GB2312" w:hAnsi="仿宋_GB2312" w:eastAsia="仿宋_GB2312" w:cs="仿宋_GB2312"/>
          <w:sz w:val="32"/>
          <w:szCs w:val="32"/>
        </w:rPr>
      </w:pPr>
      <w:r>
        <w:rPr>
          <w:rFonts w:hint="eastAsia" w:ascii="楷体_GB2312" w:hAnsi="楷体_GB2312" w:eastAsia="楷体_GB2312" w:cs="楷体_GB2312"/>
          <w:sz w:val="32"/>
          <w:szCs w:val="32"/>
        </w:rPr>
        <w:t>（二）“试创业”成功认定。</w:t>
      </w:r>
      <w:r>
        <w:rPr>
          <w:rFonts w:hint="eastAsia" w:ascii="仿宋_GB2312" w:hAnsi="仿宋_GB2312" w:eastAsia="仿宋_GB2312" w:cs="仿宋_GB2312"/>
          <w:sz w:val="32"/>
          <w:szCs w:val="32"/>
        </w:rPr>
        <w:t>试创业”项目具体实际经营的团队或个人，均为初次申请“试创业”实践活动，即可认定该“试创业”项目为新项目。</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（三）“试创业”补助时长。</w:t>
      </w:r>
      <w:r>
        <w:rPr>
          <w:rFonts w:hint="eastAsia" w:ascii="仿宋_GB2312" w:hAnsi="仿宋_GB2312" w:eastAsia="仿宋_GB2312" w:cs="仿宋_GB2312"/>
          <w:sz w:val="32"/>
          <w:szCs w:val="32"/>
        </w:rPr>
        <w:t>“试创业”项目最长补助时长为6个月（“试创业”项目经营时长不足20天不予补助，超过20天（含20天）按1个月标准计算）。</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组织管理</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1.“马兰花计划”是职业技能提升行动的重要内容，各地人力资源社会保障部门要认真落实职业技能提升行动部署要求，按照政府激励引导、社会广泛参与、劳动者自主选择的原则，面向劳动者开展创业培训服务，扎实推动返乡入乡创业培训服务工作。</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各地要进一步加强和规范职业技能提升行动专账资金、福建省创业支持资金管理使用，支持各地结合实际调整提高创业培训补贴标准，最高不超过原标准的两倍。网络创业培训补贴标准可略高于SYB创业培训补贴标准，主要用于网络创业培训教学辅助平台使用服务费补助。</w:t>
      </w:r>
    </w:p>
    <w:p>
      <w:pPr>
        <w:numPr>
          <w:ilvl w:val="0"/>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各地人力资源社会保障部门要完善“马兰花创业培训”质量管理，依托福建省补贴性职业培训管理平台，做好“马兰花创业培训”信息化管理服务，实现全流程全信息化覆盖。</w:t>
      </w:r>
    </w:p>
    <w:p>
      <w:pPr>
        <w:spacing w:line="560" w:lineRule="exact"/>
        <w:rPr>
          <w:rFonts w:ascii="仿宋_GB2312" w:hAnsi="仿宋" w:eastAsia="仿宋_GB2312" w:cs="仿宋"/>
          <w:sz w:val="32"/>
          <w:szCs w:val="32"/>
        </w:rPr>
      </w:pPr>
    </w:p>
    <w:p>
      <w:pPr>
        <w:spacing w:line="560" w:lineRule="exact"/>
        <w:textAlignment w:val="top"/>
        <w:rPr>
          <w:rFonts w:ascii="仿宋_GB2312" w:hAnsi="Times New Roman" w:eastAsia="仿宋_GB2312" w:cs="Times New Roman"/>
          <w:sz w:val="32"/>
          <w:szCs w:val="32"/>
        </w:rPr>
      </w:pPr>
    </w:p>
    <w:p>
      <w:pPr>
        <w:spacing w:line="560" w:lineRule="exact"/>
        <w:textAlignment w:val="top"/>
        <w:rPr>
          <w:rFonts w:ascii="仿宋_GB2312" w:eastAsia="仿宋_GB2312"/>
          <w:sz w:val="32"/>
          <w:szCs w:val="32"/>
        </w:rPr>
      </w:pPr>
    </w:p>
    <w:p>
      <w:pPr>
        <w:spacing w:line="560" w:lineRule="exact"/>
        <w:ind w:firstLine="3840" w:firstLineChars="1200"/>
        <w:textAlignment w:val="top"/>
        <w:rPr>
          <w:rFonts w:ascii="仿宋_GB2312" w:eastAsia="仿宋_GB2312"/>
          <w:sz w:val="32"/>
          <w:szCs w:val="32"/>
        </w:rPr>
      </w:pPr>
      <w:r>
        <w:rPr>
          <w:rFonts w:hint="eastAsia" w:ascii="仿宋_GB2312" w:eastAsia="仿宋_GB2312"/>
          <w:sz w:val="32"/>
          <w:szCs w:val="32"/>
        </w:rPr>
        <w:t>福建省人力资源和社会保障厅</w:t>
      </w:r>
    </w:p>
    <w:p>
      <w:pPr>
        <w:spacing w:line="560" w:lineRule="exact"/>
        <w:ind w:firstLine="4800" w:firstLineChars="1500"/>
        <w:textAlignment w:val="top"/>
        <w:rPr>
          <w:rFonts w:ascii="仿宋_GB2312" w:eastAsia="仿宋_GB2312"/>
          <w:spacing w:val="-6"/>
          <w:sz w:val="32"/>
          <w:szCs w:val="32"/>
        </w:rPr>
      </w:pPr>
      <w:r>
        <w:rPr>
          <w:rFonts w:hint="eastAsia" w:ascii="仿宋_GB2312" w:hAnsi="仿宋_GB2312" w:eastAsia="仿宋_GB2312" w:cs="仿宋_GB2312"/>
          <w:sz w:val="32"/>
          <w:szCs w:val="32"/>
        </w:rPr>
        <w:t>2021年4月26日</w:t>
      </w:r>
    </w:p>
    <w:p>
      <w:pPr>
        <w:spacing w:line="560" w:lineRule="exact"/>
        <w:ind w:firstLine="616" w:firstLineChars="200"/>
        <w:textAlignment w:val="top"/>
        <w:rPr>
          <w:rFonts w:ascii="仿宋_GB2312" w:eastAsia="仿宋_GB2312"/>
          <w:sz w:val="32"/>
          <w:szCs w:val="32"/>
        </w:rPr>
      </w:pPr>
      <w:r>
        <w:rPr>
          <w:rFonts w:hint="eastAsia" w:ascii="仿宋_GB2312" w:eastAsia="仿宋_GB2312"/>
          <w:spacing w:val="-6"/>
          <w:sz w:val="32"/>
          <w:szCs w:val="32"/>
        </w:rPr>
        <w:t>（此件主动公开）</w:t>
      </w:r>
    </w:p>
    <w:p>
      <w:pPr>
        <w:spacing w:line="560" w:lineRule="exact"/>
        <w:textAlignment w:val="top"/>
        <w:rPr>
          <w:rFonts w:ascii="仿宋_GB2312" w:eastAsia="仿宋_GB2312"/>
          <w:spacing w:val="-6"/>
          <w:sz w:val="32"/>
          <w:szCs w:val="32"/>
        </w:rPr>
      </w:pPr>
      <w:bookmarkStart w:id="1" w:name="BodyEnd"/>
      <w:bookmarkEnd w:id="1"/>
    </w:p>
    <w:p>
      <w:pPr>
        <w:spacing w:line="596" w:lineRule="exact"/>
        <w:textAlignment w:val="top"/>
        <w:rPr>
          <w:rFonts w:ascii="仿宋_GB2312"/>
          <w:spacing w:val="-6"/>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p>
    <w:p>
      <w:pPr>
        <w:spacing w:after="156" w:afterLines="50" w:line="560" w:lineRule="exact"/>
        <w:jc w:val="left"/>
        <w:rPr>
          <w:rFonts w:ascii="仿宋_GB2312" w:eastAsia="仿宋_GB2312"/>
          <w:sz w:val="32"/>
          <w:szCs w:val="32"/>
        </w:rPr>
      </w:pPr>
      <w:bookmarkStart w:id="2" w:name="_GoBack"/>
      <w:bookmarkEnd w:id="2"/>
    </w:p>
    <w:tbl>
      <w:tblPr>
        <w:tblStyle w:val="9"/>
        <w:tblpPr w:leftFromText="180" w:rightFromText="180" w:vertAnchor="text" w:horzAnchor="page" w:tblpX="1405" w:tblpY="1065"/>
        <w:tblOverlap w:val="never"/>
        <w:tblW w:w="917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9174" w:type="dxa"/>
            <w:vAlign w:val="top"/>
          </w:tcPr>
          <w:p>
            <w:pPr>
              <w:rPr>
                <w:rFonts w:ascii="仿宋_GB2312" w:hAnsi="仿宋" w:eastAsia="仿宋_GB2312"/>
                <w:sz w:val="28"/>
                <w:szCs w:val="28"/>
              </w:rPr>
            </w:pPr>
            <w:r>
              <w:rPr>
                <w:rFonts w:hint="eastAsia" w:ascii="仿宋_GB2312" w:hAnsi="仿宋" w:eastAsia="仿宋_GB2312"/>
                <w:sz w:val="28"/>
                <w:szCs w:val="28"/>
              </w:rPr>
              <w:t>莆田市人力资源和社会保障局</w:t>
            </w:r>
            <w:r>
              <w:rPr>
                <w:rFonts w:hint="eastAsia" w:ascii="仿宋_GB2312" w:hAnsi="仿宋" w:eastAsia="仿宋_GB2312"/>
                <w:sz w:val="28"/>
                <w:szCs w:val="28"/>
                <w:lang w:eastAsia="zh-CN"/>
              </w:rPr>
              <w:t>办公室</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20</w:t>
            </w:r>
            <w:r>
              <w:rPr>
                <w:rFonts w:hint="eastAsia" w:ascii="仿宋_GB2312" w:hAnsi="仿宋" w:eastAsia="仿宋_GB2312"/>
                <w:sz w:val="28"/>
                <w:szCs w:val="28"/>
                <w:lang w:val="en-US" w:eastAsia="zh-CN"/>
              </w:rPr>
              <w:t>21</w:t>
            </w:r>
            <w:r>
              <w:rPr>
                <w:rFonts w:hint="eastAsia" w:ascii="仿宋_GB2312" w:hAnsi="仿宋" w:eastAsia="仿宋_GB2312"/>
                <w:sz w:val="28"/>
                <w:szCs w:val="28"/>
              </w:rPr>
              <w:t>年</w:t>
            </w:r>
            <w:r>
              <w:rPr>
                <w:rFonts w:hint="eastAsia" w:ascii="仿宋_GB2312" w:hAnsi="仿宋" w:eastAsia="仿宋_GB2312"/>
                <w:sz w:val="28"/>
                <w:szCs w:val="28"/>
                <w:lang w:val="en-US" w:eastAsia="zh-CN"/>
              </w:rPr>
              <w:t>12</w:t>
            </w:r>
            <w:r>
              <w:rPr>
                <w:rFonts w:hint="eastAsia" w:ascii="仿宋_GB2312" w:hAnsi="仿宋" w:eastAsia="仿宋_GB2312"/>
                <w:sz w:val="28"/>
                <w:szCs w:val="28"/>
              </w:rPr>
              <w:t>月</w:t>
            </w:r>
            <w:r>
              <w:rPr>
                <w:rFonts w:hint="eastAsia" w:ascii="仿宋_GB2312" w:hAnsi="仿宋" w:eastAsia="仿宋_GB2312"/>
                <w:sz w:val="28"/>
                <w:szCs w:val="28"/>
                <w:lang w:val="en-US" w:eastAsia="zh-CN"/>
              </w:rPr>
              <w:t>16</w:t>
            </w:r>
            <w:r>
              <w:rPr>
                <w:rFonts w:hint="eastAsia" w:ascii="仿宋_GB2312" w:hAnsi="仿宋" w:eastAsia="仿宋_GB2312"/>
                <w:sz w:val="28"/>
                <w:szCs w:val="28"/>
              </w:rPr>
              <w:t>日印发</w:t>
            </w:r>
          </w:p>
        </w:tc>
      </w:tr>
    </w:tbl>
    <w:p>
      <w:pPr>
        <w:spacing w:after="156" w:afterLines="50" w:line="560" w:lineRule="exact"/>
        <w:jc w:val="left"/>
        <w:rPr>
          <w:rFonts w:ascii="仿宋_GB2312" w:eastAsia="仿宋_GB2312"/>
          <w:sz w:val="32"/>
          <w:szCs w:val="32"/>
        </w:rPr>
      </w:pPr>
    </w:p>
    <w:sectPr>
      <w:footerReference r:id="rId3" w:type="default"/>
      <w:pgSz w:w="11906" w:h="16838"/>
      <w:pgMar w:top="1440" w:right="1474" w:bottom="144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48B77"/>
    <w:multiLevelType w:val="singleLevel"/>
    <w:tmpl w:val="04E48B77"/>
    <w:lvl w:ilvl="0" w:tentative="0">
      <w:start w:val="1"/>
      <w:numFmt w:val="chineseCounting"/>
      <w:suff w:val="nothing"/>
      <w:lvlText w:val="（%1）"/>
      <w:lvlJc w:val="left"/>
      <w:pPr>
        <w:ind w:left="0" w:firstLine="0"/>
      </w:pPr>
      <w:rPr>
        <w:rFonts w:hint="eastAsia" w:ascii="楷体_GB2312" w:hAnsi="楷体_GB2312" w:eastAsia="楷体_GB2312" w:cs="楷体_GB2312"/>
      </w:rPr>
    </w:lvl>
  </w:abstractNum>
  <w:abstractNum w:abstractNumId="1">
    <w:nsid w:val="182508CA"/>
    <w:multiLevelType w:val="singleLevel"/>
    <w:tmpl w:val="182508CA"/>
    <w:lvl w:ilvl="0" w:tentative="0">
      <w:start w:val="1"/>
      <w:numFmt w:val="chineseCounting"/>
      <w:suff w:val="nothing"/>
      <w:lvlText w:val="%1、"/>
      <w:lvlJc w:val="left"/>
      <w:rPr>
        <w:rFonts w:hint="eastAsia" w:ascii="黑体" w:hAnsi="黑体" w:eastAsia="黑体" w:cs="黑体"/>
      </w:rPr>
    </w:lvl>
  </w:abstractNum>
  <w:abstractNum w:abstractNumId="2">
    <w:nsid w:val="48697C0C"/>
    <w:multiLevelType w:val="singleLevel"/>
    <w:tmpl w:val="48697C0C"/>
    <w:lvl w:ilvl="0" w:tentative="0">
      <w:start w:val="1"/>
      <w:numFmt w:val="chineseCounting"/>
      <w:suff w:val="nothing"/>
      <w:lvlText w:val="%1、"/>
      <w:lvlJc w:val="left"/>
      <w:pPr>
        <w:ind w:left="0" w:firstLine="0"/>
      </w:pPr>
    </w:lvl>
  </w:abstractNum>
  <w:num w:numId="1">
    <w:abstractNumId w:val="1"/>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65"/>
    <w:rsid w:val="000123F1"/>
    <w:rsid w:val="00030799"/>
    <w:rsid w:val="00040F35"/>
    <w:rsid w:val="00057877"/>
    <w:rsid w:val="000767F9"/>
    <w:rsid w:val="00082CF9"/>
    <w:rsid w:val="00090133"/>
    <w:rsid w:val="00090352"/>
    <w:rsid w:val="00092992"/>
    <w:rsid w:val="00096C77"/>
    <w:rsid w:val="000B3801"/>
    <w:rsid w:val="000B6AF9"/>
    <w:rsid w:val="000C22EA"/>
    <w:rsid w:val="000D2B02"/>
    <w:rsid w:val="000D581C"/>
    <w:rsid w:val="000D7B40"/>
    <w:rsid w:val="000E35BC"/>
    <w:rsid w:val="001029DB"/>
    <w:rsid w:val="00125C71"/>
    <w:rsid w:val="001270A9"/>
    <w:rsid w:val="0012791D"/>
    <w:rsid w:val="001539DA"/>
    <w:rsid w:val="00163BD6"/>
    <w:rsid w:val="00163F37"/>
    <w:rsid w:val="00174011"/>
    <w:rsid w:val="001757A0"/>
    <w:rsid w:val="00176578"/>
    <w:rsid w:val="001A7F65"/>
    <w:rsid w:val="001B1962"/>
    <w:rsid w:val="001B5BCB"/>
    <w:rsid w:val="001C605A"/>
    <w:rsid w:val="001C69B8"/>
    <w:rsid w:val="001D16E4"/>
    <w:rsid w:val="002105E6"/>
    <w:rsid w:val="00212AEC"/>
    <w:rsid w:val="00223442"/>
    <w:rsid w:val="002267E3"/>
    <w:rsid w:val="00240901"/>
    <w:rsid w:val="0024146C"/>
    <w:rsid w:val="002456C8"/>
    <w:rsid w:val="00247368"/>
    <w:rsid w:val="00251F90"/>
    <w:rsid w:val="002527CF"/>
    <w:rsid w:val="00282A7E"/>
    <w:rsid w:val="00297E73"/>
    <w:rsid w:val="002A2C2B"/>
    <w:rsid w:val="002A4B3D"/>
    <w:rsid w:val="002D4AE4"/>
    <w:rsid w:val="002D69A2"/>
    <w:rsid w:val="002E5DBC"/>
    <w:rsid w:val="002E77BE"/>
    <w:rsid w:val="002F0DA3"/>
    <w:rsid w:val="00310548"/>
    <w:rsid w:val="00341FEC"/>
    <w:rsid w:val="00344658"/>
    <w:rsid w:val="00344B72"/>
    <w:rsid w:val="0036362A"/>
    <w:rsid w:val="00371A44"/>
    <w:rsid w:val="00371B83"/>
    <w:rsid w:val="00373F91"/>
    <w:rsid w:val="003766BC"/>
    <w:rsid w:val="00376B8C"/>
    <w:rsid w:val="00382AA8"/>
    <w:rsid w:val="00385F73"/>
    <w:rsid w:val="003D418A"/>
    <w:rsid w:val="003F220D"/>
    <w:rsid w:val="003F3D88"/>
    <w:rsid w:val="0040177A"/>
    <w:rsid w:val="00401DE0"/>
    <w:rsid w:val="00415CCB"/>
    <w:rsid w:val="00415E02"/>
    <w:rsid w:val="00416D0D"/>
    <w:rsid w:val="00436A7A"/>
    <w:rsid w:val="00442E55"/>
    <w:rsid w:val="00453D73"/>
    <w:rsid w:val="0045706D"/>
    <w:rsid w:val="00463DA7"/>
    <w:rsid w:val="0048490E"/>
    <w:rsid w:val="00497C29"/>
    <w:rsid w:val="004B1E38"/>
    <w:rsid w:val="004E0665"/>
    <w:rsid w:val="004E0B8A"/>
    <w:rsid w:val="004E2DAD"/>
    <w:rsid w:val="004E5117"/>
    <w:rsid w:val="004F108A"/>
    <w:rsid w:val="004F400B"/>
    <w:rsid w:val="004F4376"/>
    <w:rsid w:val="00502153"/>
    <w:rsid w:val="0050333B"/>
    <w:rsid w:val="00503E67"/>
    <w:rsid w:val="00504AB0"/>
    <w:rsid w:val="00523043"/>
    <w:rsid w:val="0052614C"/>
    <w:rsid w:val="00527495"/>
    <w:rsid w:val="00532748"/>
    <w:rsid w:val="00537F96"/>
    <w:rsid w:val="00545457"/>
    <w:rsid w:val="0055113A"/>
    <w:rsid w:val="00552FDD"/>
    <w:rsid w:val="00557588"/>
    <w:rsid w:val="00561069"/>
    <w:rsid w:val="00573FF8"/>
    <w:rsid w:val="00582F5B"/>
    <w:rsid w:val="00592F1A"/>
    <w:rsid w:val="005A6165"/>
    <w:rsid w:val="005C3111"/>
    <w:rsid w:val="005C693D"/>
    <w:rsid w:val="005E308B"/>
    <w:rsid w:val="005F03C1"/>
    <w:rsid w:val="00605B8F"/>
    <w:rsid w:val="006079AA"/>
    <w:rsid w:val="006151DB"/>
    <w:rsid w:val="006444BA"/>
    <w:rsid w:val="00645282"/>
    <w:rsid w:val="00662DE7"/>
    <w:rsid w:val="00676956"/>
    <w:rsid w:val="0068293D"/>
    <w:rsid w:val="00682CCF"/>
    <w:rsid w:val="00695B58"/>
    <w:rsid w:val="00697E0D"/>
    <w:rsid w:val="006B1C3D"/>
    <w:rsid w:val="006C616A"/>
    <w:rsid w:val="006D10E6"/>
    <w:rsid w:val="0072282F"/>
    <w:rsid w:val="0072439B"/>
    <w:rsid w:val="007608B0"/>
    <w:rsid w:val="0076159D"/>
    <w:rsid w:val="00761FFF"/>
    <w:rsid w:val="007651B0"/>
    <w:rsid w:val="007668F7"/>
    <w:rsid w:val="00783915"/>
    <w:rsid w:val="00784995"/>
    <w:rsid w:val="007861C7"/>
    <w:rsid w:val="007875E4"/>
    <w:rsid w:val="0079039F"/>
    <w:rsid w:val="00795D91"/>
    <w:rsid w:val="007B3911"/>
    <w:rsid w:val="007D5464"/>
    <w:rsid w:val="007D78FC"/>
    <w:rsid w:val="007E01FF"/>
    <w:rsid w:val="007F457D"/>
    <w:rsid w:val="00805418"/>
    <w:rsid w:val="00810A82"/>
    <w:rsid w:val="00817A89"/>
    <w:rsid w:val="008204C3"/>
    <w:rsid w:val="00836D2C"/>
    <w:rsid w:val="008429AF"/>
    <w:rsid w:val="008448E8"/>
    <w:rsid w:val="00846C93"/>
    <w:rsid w:val="008576E2"/>
    <w:rsid w:val="008647EF"/>
    <w:rsid w:val="00893B37"/>
    <w:rsid w:val="008A4EE2"/>
    <w:rsid w:val="008A4F16"/>
    <w:rsid w:val="008A65D8"/>
    <w:rsid w:val="008B065D"/>
    <w:rsid w:val="008B0E5A"/>
    <w:rsid w:val="008B585A"/>
    <w:rsid w:val="008B5AA5"/>
    <w:rsid w:val="008C48ED"/>
    <w:rsid w:val="008C7E63"/>
    <w:rsid w:val="008D7881"/>
    <w:rsid w:val="008E1D24"/>
    <w:rsid w:val="008E34DC"/>
    <w:rsid w:val="008F1737"/>
    <w:rsid w:val="008F4DA4"/>
    <w:rsid w:val="008F57E1"/>
    <w:rsid w:val="0091676C"/>
    <w:rsid w:val="009225A4"/>
    <w:rsid w:val="00931BF8"/>
    <w:rsid w:val="00933460"/>
    <w:rsid w:val="0093799D"/>
    <w:rsid w:val="00945CBA"/>
    <w:rsid w:val="009562BF"/>
    <w:rsid w:val="00964041"/>
    <w:rsid w:val="00973387"/>
    <w:rsid w:val="00975788"/>
    <w:rsid w:val="009B11E0"/>
    <w:rsid w:val="009B2B77"/>
    <w:rsid w:val="009B57E8"/>
    <w:rsid w:val="009B5C53"/>
    <w:rsid w:val="009D07F6"/>
    <w:rsid w:val="009D19C1"/>
    <w:rsid w:val="009D6433"/>
    <w:rsid w:val="009D66A0"/>
    <w:rsid w:val="009E3EC9"/>
    <w:rsid w:val="009F5BF0"/>
    <w:rsid w:val="00A140EF"/>
    <w:rsid w:val="00A4013F"/>
    <w:rsid w:val="00A52330"/>
    <w:rsid w:val="00A64434"/>
    <w:rsid w:val="00A67C40"/>
    <w:rsid w:val="00A75AD5"/>
    <w:rsid w:val="00A821EA"/>
    <w:rsid w:val="00A87988"/>
    <w:rsid w:val="00A930B9"/>
    <w:rsid w:val="00A96B4E"/>
    <w:rsid w:val="00AA2564"/>
    <w:rsid w:val="00AB6D39"/>
    <w:rsid w:val="00AC1F8F"/>
    <w:rsid w:val="00AC29C4"/>
    <w:rsid w:val="00AD32CA"/>
    <w:rsid w:val="00AE5ED5"/>
    <w:rsid w:val="00AE730C"/>
    <w:rsid w:val="00AF390C"/>
    <w:rsid w:val="00AF519F"/>
    <w:rsid w:val="00AF774A"/>
    <w:rsid w:val="00B1591E"/>
    <w:rsid w:val="00B21057"/>
    <w:rsid w:val="00B26E09"/>
    <w:rsid w:val="00B35DCB"/>
    <w:rsid w:val="00B40ACF"/>
    <w:rsid w:val="00B40D9C"/>
    <w:rsid w:val="00B46D88"/>
    <w:rsid w:val="00B50C18"/>
    <w:rsid w:val="00B531DC"/>
    <w:rsid w:val="00B54BA9"/>
    <w:rsid w:val="00B63D74"/>
    <w:rsid w:val="00B67E98"/>
    <w:rsid w:val="00B95198"/>
    <w:rsid w:val="00BA233B"/>
    <w:rsid w:val="00BA373D"/>
    <w:rsid w:val="00BB611D"/>
    <w:rsid w:val="00BB7ABD"/>
    <w:rsid w:val="00BD11CD"/>
    <w:rsid w:val="00BE7713"/>
    <w:rsid w:val="00BF4568"/>
    <w:rsid w:val="00BF53AD"/>
    <w:rsid w:val="00C07EC4"/>
    <w:rsid w:val="00C326DC"/>
    <w:rsid w:val="00C33179"/>
    <w:rsid w:val="00C531C5"/>
    <w:rsid w:val="00C54BBF"/>
    <w:rsid w:val="00C57F93"/>
    <w:rsid w:val="00C602FF"/>
    <w:rsid w:val="00C61AC1"/>
    <w:rsid w:val="00C72FB9"/>
    <w:rsid w:val="00C92607"/>
    <w:rsid w:val="00C94EED"/>
    <w:rsid w:val="00CA2C52"/>
    <w:rsid w:val="00CB502B"/>
    <w:rsid w:val="00CC7DB8"/>
    <w:rsid w:val="00CD28C8"/>
    <w:rsid w:val="00CD4D9F"/>
    <w:rsid w:val="00CE3709"/>
    <w:rsid w:val="00D106CC"/>
    <w:rsid w:val="00D10F2D"/>
    <w:rsid w:val="00D142B1"/>
    <w:rsid w:val="00D2534E"/>
    <w:rsid w:val="00D33B52"/>
    <w:rsid w:val="00D41FE2"/>
    <w:rsid w:val="00D45ABC"/>
    <w:rsid w:val="00D510B6"/>
    <w:rsid w:val="00D55299"/>
    <w:rsid w:val="00D81418"/>
    <w:rsid w:val="00DA21D2"/>
    <w:rsid w:val="00DB03FC"/>
    <w:rsid w:val="00DB4F42"/>
    <w:rsid w:val="00DC014D"/>
    <w:rsid w:val="00DC1820"/>
    <w:rsid w:val="00DC6CF3"/>
    <w:rsid w:val="00DF0B6E"/>
    <w:rsid w:val="00DF44C7"/>
    <w:rsid w:val="00E119E2"/>
    <w:rsid w:val="00E209CE"/>
    <w:rsid w:val="00E24DD7"/>
    <w:rsid w:val="00E412BE"/>
    <w:rsid w:val="00E426B5"/>
    <w:rsid w:val="00E46536"/>
    <w:rsid w:val="00E5549D"/>
    <w:rsid w:val="00E577D5"/>
    <w:rsid w:val="00E57A79"/>
    <w:rsid w:val="00E60D5B"/>
    <w:rsid w:val="00E7513A"/>
    <w:rsid w:val="00EA15A2"/>
    <w:rsid w:val="00EC45FE"/>
    <w:rsid w:val="00EC64EF"/>
    <w:rsid w:val="00EE7E06"/>
    <w:rsid w:val="00F010AA"/>
    <w:rsid w:val="00F01AC1"/>
    <w:rsid w:val="00F0228A"/>
    <w:rsid w:val="00F06215"/>
    <w:rsid w:val="00F2420F"/>
    <w:rsid w:val="00F246FF"/>
    <w:rsid w:val="00F32D66"/>
    <w:rsid w:val="00F363BF"/>
    <w:rsid w:val="00F40AE5"/>
    <w:rsid w:val="00F425C2"/>
    <w:rsid w:val="00F51F55"/>
    <w:rsid w:val="00F5287E"/>
    <w:rsid w:val="00F546B3"/>
    <w:rsid w:val="00F56C5D"/>
    <w:rsid w:val="00FE3701"/>
    <w:rsid w:val="00FE4228"/>
    <w:rsid w:val="00FE5786"/>
    <w:rsid w:val="03AE1535"/>
    <w:rsid w:val="0462007F"/>
    <w:rsid w:val="10015986"/>
    <w:rsid w:val="140B25C3"/>
    <w:rsid w:val="207950F4"/>
    <w:rsid w:val="233033D0"/>
    <w:rsid w:val="2A5C370B"/>
    <w:rsid w:val="38670227"/>
    <w:rsid w:val="41A95147"/>
    <w:rsid w:val="42FE1923"/>
    <w:rsid w:val="49A977B3"/>
    <w:rsid w:val="5A882D5F"/>
    <w:rsid w:val="5E76530F"/>
    <w:rsid w:val="61FA23D0"/>
    <w:rsid w:val="6DE5748B"/>
    <w:rsid w:val="729F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21"/>
    <w:semiHidden/>
    <w:unhideWhenUsed/>
    <w:qFormat/>
    <w:uiPriority w:val="0"/>
    <w:rPr>
      <w:rFonts w:ascii="仿宋_GB2312" w:hAnsi="Times New Roman" w:eastAsia="仿宋_GB2312" w:cs="Times New Roman"/>
      <w:sz w:val="32"/>
      <w:szCs w:val="24"/>
    </w:r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 w:type="character" w:customStyle="1" w:styleId="20">
    <w:name w:val="批注框文本 Char"/>
    <w:basedOn w:val="11"/>
    <w:link w:val="4"/>
    <w:semiHidden/>
    <w:qFormat/>
    <w:uiPriority w:val="99"/>
    <w:rPr>
      <w:sz w:val="18"/>
      <w:szCs w:val="18"/>
    </w:rPr>
  </w:style>
  <w:style w:type="character" w:customStyle="1" w:styleId="21">
    <w:name w:val="日期 Char"/>
    <w:basedOn w:val="11"/>
    <w:link w:val="3"/>
    <w:semiHidden/>
    <w:qFormat/>
    <w:uiPriority w:val="0"/>
    <w:rPr>
      <w:rFonts w:ascii="仿宋_GB2312" w:hAnsi="Times New Roman" w:eastAsia="仿宋_GB2312" w:cs="Times New Roman"/>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EEAF4D-6BBB-49F9-90F9-BD863062C0E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414</Words>
  <Characters>2360</Characters>
  <Lines>19</Lines>
  <Paragraphs>5</Paragraphs>
  <TotalTime>6</TotalTime>
  <ScaleCrop>false</ScaleCrop>
  <LinksUpToDate>false</LinksUpToDate>
  <CharactersWithSpaces>2769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2021-08-03T07:36:00Z</dcterms:created>
  <dc:creator>Administrator</dc:creator>
  <cp:lastModifiedBy>炜杰_woo</cp:lastModifiedBy>
  <cp:lastPrinted>2021-12-15T06:41:00Z</cp:lastPrinted>
  <dcterms:modified xsi:type="dcterms:W3CDTF">2021-12-17T00:51:31Z</dcterms:modified>
  <cp:revision>568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9BC71F358E8D4F10851399158A0EA4AA</vt:lpwstr>
  </property>
</Properties>
</file>