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宋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关于我市2019年市本级决算的报告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莆田市财政局局长  余志生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（2020年8月26日）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主任、各位副主任、秘书长，各位委员：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受市人民政府委托，我向市人大常委会报告我市2019年市本级决算情况，请予审议。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我市财政部门在市委市政府的坚强领导和市人大的监督指导下，全面深入贯彻习近平新时代中国特色社会主义思想，坚持稳中求进工作总基调，推动高质量发展，扎实做好“六稳”工作，统筹推进稳增长、促改革、调结构、惠民生、防风险、保稳定，全市经济运行持续稳中向好态势。根据预算法规定，重点报告市本级决算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认真落实各项财税政策，有力促进经济发展和民生改善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去年是全市经济较为困难的一年，也是财政收支矛盾异常突出的一年。面对复杂严峻的经济形势和减税降费多重压力，在市委的坚强领导和市人大的监督指导下，全市财政系统攻坚克难，有效实施积极的财政政策，充分发挥财政职能作用，有力促进了全市经济社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一是坚持将减税降费作为2019年积极财政政策的头等大事，</w:t>
      </w:r>
      <w:r>
        <w:rPr>
          <w:rFonts w:hint="eastAsia"/>
        </w:rPr>
        <w:t>不折不扣贯彻执行中央深化增值税改革、小微企业普惠性减税政策、个人所得税专项附加扣除以及全省地方“六税两费”减免政策。全市新增减税降费规模共29亿元。所有行业均实现减税，在减轻企业负担、稳定市场预期、促进企业加强研发、增加投资和扩大就业等方面发挥了积极作用，让企业和人民群众有实实在在的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二是在向上争取资金方面创历史新高。</w:t>
      </w:r>
      <w:r>
        <w:rPr>
          <w:rFonts w:hint="eastAsia"/>
        </w:rPr>
        <w:t>2019年，全市争取上级转移支付资金 85亿元；争取债券资金45.4亿元，其中：一般债务9.28亿元，专项债务28.84亿元，置换债券7.3亿元。另外：蓝色海湾整治项目在全国竞争性评审中脱颖而出，获中央财政奖励补助3亿元；黑臭水体整治项目获3亿元，江河湖海水系连通项目获5000万元；全国农村综合性改革试点试验村项目获中央补助7500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三是支持扩大有效投资。</w:t>
      </w:r>
      <w:r>
        <w:rPr>
          <w:rFonts w:hint="eastAsia"/>
        </w:rPr>
        <w:t>突出项目支撑，筹集各类项目建设资金85亿元，推动莆田学院、湄职院搬迁、电子信息产业、冰雪小镇以及轨道交通等重大基础设施、产业项目提速提效。市区财政累计拨付各类涉企发展专项资金18亿元，完善一系列扶持工业企业、鞋业发展的政策措施，落实工业企业技改完工后奖励、企业技改设备补助、“机器换工”奖励等政策，出台“一企一策”引导纳税大户、平台经济税源培植，促进产业转型升级，夯实财源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四是充分发挥金融功能。</w:t>
      </w:r>
      <w:r>
        <w:rPr>
          <w:rFonts w:hint="eastAsia"/>
        </w:rPr>
        <w:t>对接政策性银行，争取国开行授信额度84.6亿元，农发行授信额度50.5亿元，积极对接金融机构开展存量隐性债务置换工作。积极推动股权投资基金发展，促进总规模10亿元的莆田市金控投资合伙企业（有限合伙）和总规模10亿元的松禾梦想智能产业基金落地。市中小企业融资再担保有限公司共为全市78家企业办理过桥担保业务99笔，总金额32.25亿元；为431家企业开具工程电子保函1707笔，工程投标担保总额4.98亿元；融资担保业务获全市17家银行审批，授信总额度为36亿元，完成25家“白名单”企业担保审批，实现政策性融资担保总额1.23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五是优先保障民生支出。</w:t>
      </w:r>
      <w:r>
        <w:rPr>
          <w:rFonts w:hint="eastAsia"/>
        </w:rPr>
        <w:t>2019年，全市民生支出178.7亿元，占一般预算支出的比例为74.8%，增长10.3%，超过一般预算支出的增幅5.5个百分点。市财政全年共统筹调度资金54.7亿元，确保县区“三保”各项资金按时拨付，兜牢兜实基层“三保”底线。市级共投入扶贫专项1.3亿元，比上年增长10%。社会保障体系进一步提标，其中：城乡居民医保政府补助标准从每人每年490元提高到520元，城乡居民基础养老金由每人每月133元提高到138元，人均基本公共卫生服务项目政府补助标准从每人每年55元提高到69元。争取中央、省保障性安居工程资金2.2亿元，比增130%，重点补助城市棚户区改造项目。累计投入综治和平安相关建设经费8亿元，提高防恐处突信息化装备水平，保障扫黑除恶专项斗争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二、坚持依法理财，扎实做好财政改革和管理工作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全市财政部门坚持改革创新，有效管控政府债务风险，深化预算体制改革，健全了政府预算体系，推进预算实质性统筹，盘活财政存量资金，有效缓解财政收支平衡压力。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一是科学调整土地出让收支级次，降低区级专项债务率，</w:t>
      </w:r>
      <w:r>
        <w:rPr>
          <w:rFonts w:hint="eastAsia"/>
        </w:rPr>
        <w:t>涵江区和秀屿区退出财政部债务风险预警地区，我市获得债务限额进一步增加；研究甄别化解，仙游、城厢、秀屿三个区退出省级债务风险红色预警。对全市纳入政府性债务监测平台的21个PPP项目进行梳理，共有18个项目307.28亿元有序退出债务监测平台，降低我市隐性债务率。同时，紧急统筹调度资金11.3亿元用于县区和市属国有企业周转到期债务，及时化解区域性金融风险。全市债务余额低于债务限额，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二是出台全面实施预算绩效管理的实施意见，</w:t>
      </w:r>
      <w:r>
        <w:rPr>
          <w:rFonts w:hint="eastAsia"/>
        </w:rPr>
        <w:t>预算绩效管理范围扩大到“四本预算”和预算部门整体支出。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三是启动预算项目库管理，</w:t>
      </w:r>
      <w:r>
        <w:rPr>
          <w:rFonts w:hint="eastAsia"/>
        </w:rPr>
        <w:t>预算项目库实行滚动管理，逐步构建全方位、全过程、全覆盖的预算绩效管理体系。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</w:rPr>
        <w:t>四是加大财政监管。</w:t>
      </w:r>
      <w:r>
        <w:rPr>
          <w:rFonts w:hint="eastAsia"/>
        </w:rPr>
        <w:t>认真履行财政监督管理职能，持续推进“1+X”专项督查工作和会计监督检查，紧盯重点环节、关键环节，主动选择大额使用专项资金、结余资金金额较多的一级预算单位作为检查对象。共查处违规金额2250.8万元，追缴收回资金552万元，补缴税款19.9万元，移送市纪委案件线索6条。推进预决算公开。市本级及7个县区政府预决算均按规定在人大批准后20日内公开，494个部门预算和492个部门决算均在财政批复后20日内公开，公开率达到100%。强化政府采购监管，净化采购市场，营造良好采购平台。全年市本级共招标各类政府采购预算17.95亿元，中标价17.2亿元，节约7500万元，节约率4.2%。全年共审结市级财政投资项目工程189个，总送审造价为60.1亿元，审定造价为57.7亿元，净核减金额2.4亿元，平均核减率为4.0%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三、2019年市本级决算情况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（一）一般公共预算收支决算情况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1、收入决算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2019年，市本级财政总收入299915万元，完成调整后预算的106%；比上年减少23880万元，下降7.4%。其中：地方级收入197640万元，完成调整后预算的112.3%；比上年下降16768万元，下降7.8%。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2019年，市本级财政收入总量865681万元，具体构成: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（1）地方级收入197640万元。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（2）上级补助收入348292万元（其中:返还性收入20916万元，一般性转移支付收入210424万元，专项转移支付收入116952万元）。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（3）下级上解收入142895万元。其中：现体制四区上解市分成收入101710万元。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（4）上年结余结转33330万元。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（5）地方政府债券资金收入44228万元。其中：新增债券20241万元，置换债券23987万元。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（6）调入资金59346万元。其中：国有资本经营预算调入7566万元，政府性基金调入50500万元。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（7）调入预算稳定调节基金39950万元。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2、支出决算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2019年，市本级财政支出569715万元（含上年结转支出和当年上级专项支出），比上年减少22539万元，下降3.8%。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2019年，市本级财政支出总量836985万元，具体构成: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（1）市本级列支569715万元。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（2）上解上级支出28778万元（其中：现体制上解省20%分成收入18689万元；专项上解10089万元）。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（3）补助下级支出165827万元。其中:一般性转移支出44377万元，专项转移支付支出121450万元。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（4）债券还本支出23987万元（以地方政府置换债券资金还本）。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（5）安排预算稳定调节基金48522万元。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（6）调出资金156万元。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3、收支决算平衡情况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市本级财政收支总量相抵，结转下年使用28696万元（其中：省专结转4824万元，市本级结转23872万元）。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从收入决算的具体情况看，市本级税收收入19.98亿元，增长7.7%。其中：增值税（含原增值税和原营业税）6.5亿元，增长31.8%；消费税4.2亿元，下降9.2%；企业所得税3.6亿元，下降19.9%;个人所得税1.1亿元，下降44.9%。市本级非税收入10亿元，下降27.6%，主要是安置房处置一次性收入在2018年基本入库完毕，今年仅有少量尾款入库，因此下降较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spacing w:val="-6"/>
        </w:rPr>
      </w:pPr>
      <w:r>
        <w:rPr>
          <w:rFonts w:hint="eastAsia"/>
        </w:rPr>
        <w:t>当年财力与调整后预算相比，变动较大，主要是财政事权与支出责任改革陆续推进，医疗保障、教育、公共卫生等部分科目</w:t>
      </w:r>
      <w:r>
        <w:rPr>
          <w:rFonts w:hint="eastAsia"/>
          <w:spacing w:val="-6"/>
        </w:rPr>
        <w:t>的省与市共同事权事项补助列入一般转移支付补助，增加财力较多。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从支出决算的具体情况看，公共安全支出6.6亿元，下降11.3%；教育支出8亿元，下降2.2%；社会保障和就业支出3.7亿元，下降1.4%；医疗卫生与计划生育支出14.4亿元，增长2.9%。2019年，预备费全年共安排4200万元，当年使用4017万元，结余183万元，当年度收回总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市本级一般公共预算收入比预算超收2.1亿元，全部用于补充市本级预算稳定调节基金。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（二）市本级政府性基金收支决算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1、收入决算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政府性基金收入1065417万元，完成调整预算的78.8%，增长314.8%。其中：土地基金收入1028984万元，完成调整预算的78%，增长381.3%；市本级政府性基金支出432025万元（不含专项补助县区支出），完成调整后预算的75.0%，增长34.8%，其中：土地基金支出306253万元，完成调整预算的76.2%，增长10.3%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eastAsia"/>
          <w:spacing w:val="-6"/>
        </w:rPr>
      </w:pPr>
      <w:r>
        <w:rPr>
          <w:rFonts w:hint="eastAsia"/>
          <w:spacing w:val="-6"/>
        </w:rPr>
        <w:t>2019年，市本级政府性基金收入总量1390507万元，具体构成: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（1）市本级政府性基金征收收入1065417万元。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（2）当年上级专项转移支付收入14478万元。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（3）下级上解收入342万元。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（4）上年结余结转21714万元。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（5）地方政府债券资金288400万元。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（6）调入资金156万元。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2、支出决算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2019年，市本级政府性基金支出432025万元（含上年结转支出和当年上级专项支出），比上年增加111462万元，增长34.8%。其中，土地基金支出306253万元，增长10.1%。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2019年，市本级基金支出总量1372406万元，具体构成: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（1）市本级列支432025万元。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（2）专项补助县区支出706983万元。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（3）上解上级支出498万元。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（4）调出资金50500万元，系调入一般公共预算，平衡当年财力不足。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（5）债务转贷支出182400万元。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3、收支决算平衡情况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市本级政府性基金收支总量相抵，结余结转18101万元。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（三）市本级国有资本经营收支决算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2019年，市本级国有资本经营收入7566万元，完成预算的99.3%。市本级国有资本经营支出7566万元，完成预算的99.3%；全部调入一般预算，当年收支平衡。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（四）市本级社会保险基金收支决算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2019年，纳入市本级预算管理的社会保险基金，包括全市的失业保险基金、职工基本医疗保险基金、工伤保险基金、生育保险基金、城乡居民基本医疗保险基金和市本级的机关事业单位养老保险基金。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1、市本级社会保险基金收入448760万元，完成预算的113.9%，增长17.7%。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2、市本级社会保险基金支出459329万元，完成预算的114%，增长27.3%。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需要说明的是：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2019年，全市使用地方政府债券资金452886万元。按债务性质分，一般债务164486万元，专项债务288400万元；按债券类别分，新增债券379915万元，置换债券72971万元；按使用级次分，县区级302658万元，市本级150228万元。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市本级使用地方政府债券资金150228万元。其中：按债务性质分为，一般债务44228万元，专项债务106000万元；按债券类别分，新增债券126241万元，置换债券23987万元。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2019年，市本级地方政府债务年初余额1377261万元（其中：一般债务392850万元，专项债务984411万元）；当年增加债务150228万元；当年偿还债务24007万元（其中：一般债务23987万元，专项债务20万元）；年末债务余额1503482万元（其中：一般债务413091万元，专项债务1090391万元），债务规模控制在省政府核定的总债务限额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从决算情况看，2019年，全市财政及市本级财政预算执行情况良好。但在财政运行中仍然存在一些困难和问题。主要有: 一是部分县区基层财政收支矛盾加剧，“三保”存在一定困难。二是债务负担较重，还本付息压力加大。三是有些资金利用效率不够高，绩效结果运用还需要强化；等等。面对这些困难和问题，我们将采取有效措施加以解决，提高依法理财水平，促进我市经济平稳较快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主任、各位副主任、秘书长，各位委员，市人大常委会始终高度重视财政工作，有力促进了我市财政改革发展。我们将在市委的坚强领导下，自觉接受市人大常委会的监督指导，认真落实本次会议审议意见，更好发挥财政基础性和支撑性作用，为坚持高质量发展落实赶超、建设美丽莆田做出更大的贡献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4959985</wp:posOffset>
              </wp:positionH>
              <wp:positionV relativeFrom="paragraph">
                <wp:posOffset>0</wp:posOffset>
              </wp:positionV>
              <wp:extent cx="6565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55pt;margin-top:0pt;height:144pt;width:51.7pt;mso-position-horizontal-relative:margin;z-index:251658240;mso-width-relative:page;mso-height-relative:page;" filled="f" stroked="f" coordsize="21600,21600" o:gfxdata="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hF/z/WAAAACAEAAA8A&#10;AAAAAAAAAQAgAAAAIgAAAGRycy9kb3ducmV2LnhtbFBLAQIUABQAAAAIAIdO4kBuuTGyGQIAABQ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4686D"/>
    <w:rsid w:val="015C4BE4"/>
    <w:rsid w:val="01934D32"/>
    <w:rsid w:val="02074DBE"/>
    <w:rsid w:val="049219CB"/>
    <w:rsid w:val="098D5A7C"/>
    <w:rsid w:val="0BE753A9"/>
    <w:rsid w:val="0F2707D0"/>
    <w:rsid w:val="12AB2E1F"/>
    <w:rsid w:val="17482B02"/>
    <w:rsid w:val="185A01C4"/>
    <w:rsid w:val="19BA29EE"/>
    <w:rsid w:val="19D86EA2"/>
    <w:rsid w:val="1E201C75"/>
    <w:rsid w:val="20560E55"/>
    <w:rsid w:val="20E50996"/>
    <w:rsid w:val="21526F2D"/>
    <w:rsid w:val="24AA3094"/>
    <w:rsid w:val="25792627"/>
    <w:rsid w:val="28133B3B"/>
    <w:rsid w:val="2A9500CF"/>
    <w:rsid w:val="2B7208CD"/>
    <w:rsid w:val="2CF502F3"/>
    <w:rsid w:val="2D24266E"/>
    <w:rsid w:val="2D3351F6"/>
    <w:rsid w:val="2F324271"/>
    <w:rsid w:val="305808A6"/>
    <w:rsid w:val="32D6019E"/>
    <w:rsid w:val="35973BE8"/>
    <w:rsid w:val="369115B2"/>
    <w:rsid w:val="391D5107"/>
    <w:rsid w:val="39CB02EF"/>
    <w:rsid w:val="3AC2438B"/>
    <w:rsid w:val="3B5E6B5B"/>
    <w:rsid w:val="3BFE2DF5"/>
    <w:rsid w:val="41492772"/>
    <w:rsid w:val="41C15C90"/>
    <w:rsid w:val="4644683A"/>
    <w:rsid w:val="4AE36E7C"/>
    <w:rsid w:val="4AEA6103"/>
    <w:rsid w:val="4C3A29CC"/>
    <w:rsid w:val="4DD61C55"/>
    <w:rsid w:val="52821DB9"/>
    <w:rsid w:val="53F755ED"/>
    <w:rsid w:val="562D4B8F"/>
    <w:rsid w:val="56621CA0"/>
    <w:rsid w:val="56E7101D"/>
    <w:rsid w:val="57041C1D"/>
    <w:rsid w:val="581D681B"/>
    <w:rsid w:val="599057ED"/>
    <w:rsid w:val="5B127765"/>
    <w:rsid w:val="5B34686D"/>
    <w:rsid w:val="5B9D3371"/>
    <w:rsid w:val="5BD30433"/>
    <w:rsid w:val="5EE87457"/>
    <w:rsid w:val="6886725D"/>
    <w:rsid w:val="6B6A33CE"/>
    <w:rsid w:val="6E142BA5"/>
    <w:rsid w:val="70E74186"/>
    <w:rsid w:val="728815BE"/>
    <w:rsid w:val="74744D15"/>
    <w:rsid w:val="75F71FFF"/>
    <w:rsid w:val="76DC5955"/>
    <w:rsid w:val="77A21B40"/>
    <w:rsid w:val="7F97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9"/>
    </w:pPr>
    <w:rPr>
      <w:kern w:val="44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32" w:firstLineChars="200"/>
      <w:outlineLvl w:val="1"/>
    </w:pPr>
    <w:rPr>
      <w:rFonts w:ascii="仿宋" w:hAnsi="仿宋" w:eastAsia="仿宋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32" w:firstLineChars="200"/>
      <w:outlineLvl w:val="3"/>
    </w:pPr>
    <w:rPr>
      <w:rFonts w:ascii="Arial" w:hAnsi="Arial" w:eastAsia="仿宋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next w:val="2"/>
    <w:qFormat/>
    <w:uiPriority w:val="0"/>
    <w:pPr>
      <w:ind w:firstLine="632" w:firstLineChars="200"/>
    </w:pPr>
    <w:rPr>
      <w:rFonts w:ascii="仿宋" w:hAnsi="仿宋" w:eastAsia="仿宋" w:cstheme="minorBidi"/>
      <w:sz w:val="32"/>
    </w:rPr>
  </w:style>
  <w:style w:type="paragraph" w:customStyle="1" w:styleId="14">
    <w:name w:val="标准格式"/>
    <w:basedOn w:val="7"/>
    <w:qFormat/>
    <w:uiPriority w:val="0"/>
    <w:rPr>
      <w:rFonts w:ascii="仿宋_GB2312" w:hAnsi="仿宋_GB2312" w:eastAsia="仿宋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2020-08-20T02:14:00Z</dcterms:created>
  <dc:creator>Angel</dc:creator>
  <cp:lastModifiedBy>Administrator</cp:lastModifiedBy>
  <dcterms:modified xsi:type="dcterms:W3CDTF">2020-09-11T02:18:12Z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