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BA5" w:rsidRPr="00201366" w:rsidRDefault="00D61BA5" w:rsidP="00201366">
      <w:pPr>
        <w:jc w:val="center"/>
        <w:rPr>
          <w:rFonts w:ascii="方正小标宋简体" w:eastAsia="方正小标宋简体" w:hint="eastAsia"/>
          <w:sz w:val="44"/>
          <w:szCs w:val="44"/>
        </w:rPr>
      </w:pPr>
      <w:r w:rsidRPr="00201366">
        <w:rPr>
          <w:rFonts w:ascii="方正小标宋简体" w:eastAsia="方正小标宋简体" w:hint="eastAsia"/>
          <w:sz w:val="44"/>
          <w:szCs w:val="44"/>
        </w:rPr>
        <w:t>《莆田市莆仙戏曲传承保护条例》</w:t>
      </w:r>
    </w:p>
    <w:p w:rsidR="00D61BA5" w:rsidRPr="00201366" w:rsidRDefault="00D61BA5" w:rsidP="00201366">
      <w:pPr>
        <w:jc w:val="center"/>
        <w:rPr>
          <w:rFonts w:ascii="方正小标宋简体" w:eastAsia="方正小标宋简体" w:hint="eastAsia"/>
          <w:sz w:val="44"/>
          <w:szCs w:val="44"/>
        </w:rPr>
      </w:pPr>
      <w:r w:rsidRPr="00201366">
        <w:rPr>
          <w:rFonts w:ascii="方正小标宋简体" w:eastAsia="方正小标宋简体" w:hint="eastAsia"/>
          <w:sz w:val="44"/>
          <w:szCs w:val="44"/>
        </w:rPr>
        <w:t>（征求意见稿）编写说明</w:t>
      </w:r>
    </w:p>
    <w:p w:rsidR="00D61BA5" w:rsidRDefault="00D61BA5" w:rsidP="00D61BA5">
      <w:pPr>
        <w:rPr>
          <w:rFonts w:ascii="仿宋_GB2312" w:hAnsi="仿宋_GB2312" w:cs="仿宋_GB2312"/>
        </w:rPr>
      </w:pPr>
    </w:p>
    <w:p w:rsidR="00D61BA5" w:rsidRDefault="00D61BA5" w:rsidP="00D61BA5">
      <w:pPr>
        <w:spacing w:line="600" w:lineRule="exact"/>
        <w:ind w:firstLineChars="200" w:firstLine="640"/>
        <w:rPr>
          <w:rFonts w:ascii="黑体" w:eastAsia="黑体" w:hAnsi="黑体" w:cs="宋体"/>
          <w:bCs/>
        </w:rPr>
      </w:pPr>
      <w:r>
        <w:rPr>
          <w:rFonts w:ascii="黑体" w:eastAsia="黑体" w:hAnsi="黑体" w:cs="宋体" w:hint="eastAsia"/>
          <w:bCs/>
        </w:rPr>
        <w:t>一、制定的必要性及起草过程</w:t>
      </w:r>
    </w:p>
    <w:p w:rsidR="00D61BA5" w:rsidRDefault="00D61BA5" w:rsidP="00D61BA5">
      <w:pPr>
        <w:spacing w:line="600" w:lineRule="exact"/>
        <w:ind w:firstLineChars="200" w:firstLine="640"/>
        <w:rPr>
          <w:rFonts w:ascii="仿宋_GB2312" w:hAnsi="仿宋_GB2312" w:hint="eastAsia"/>
        </w:rPr>
      </w:pPr>
      <w:r>
        <w:rPr>
          <w:rFonts w:ascii="仿宋_GB2312" w:hAnsi="仿宋_GB2312" w:hint="eastAsia"/>
        </w:rPr>
        <w:t>莆仙戏是源于唐、成于宋、盛于明清、辉煌于现代的古老剧种，</w:t>
      </w:r>
      <w:r w:rsidRPr="00D61BA5">
        <w:rPr>
          <w:rFonts w:ascii="仿宋_GB2312" w:cs="仿宋_GB2312" w:hint="eastAsia"/>
        </w:rPr>
        <w:t>具有悠久的历史</w:t>
      </w:r>
      <w:r>
        <w:rPr>
          <w:rFonts w:ascii="仿宋_GB2312" w:hAnsi="仿宋_GB2312" w:hint="eastAsia"/>
        </w:rPr>
        <w:t>、丰富的剧目、古朴的唱腔、独特的表演。2006年，莆仙戏被列入首批国家级非物质文化遗产保护名录。制定莆仙戏保护条例，完善相关立法，对于推进莆仙戏保护、传承和发展具有重大意义。</w:t>
      </w:r>
    </w:p>
    <w:p w:rsidR="00D61BA5" w:rsidRDefault="00D61BA5" w:rsidP="00D61BA5">
      <w:pPr>
        <w:spacing w:line="600" w:lineRule="exact"/>
        <w:ind w:firstLineChars="200" w:firstLine="640"/>
        <w:rPr>
          <w:rFonts w:ascii="仿宋_GB2312" w:hAnsi="宋体" w:hint="eastAsia"/>
        </w:rPr>
      </w:pPr>
      <w:r>
        <w:rPr>
          <w:rFonts w:ascii="仿宋_GB2312" w:hAnsi="仿宋_GB2312" w:hint="eastAsia"/>
        </w:rPr>
        <w:t>据统计，目前全市登记在册的民间职业剧团有112个，加上2个国有院团，共有114个莆仙戏院团。近年来，我市在莆仙戏保护传承工作方面采取了一系列措施，取得了一定的成效。但随着城镇化的快速发展和其他娱乐形式的冲击，莆仙戏赖以生存的生态环境逐渐消失，莆仙戏艺术</w:t>
      </w:r>
      <w:r>
        <w:rPr>
          <w:rFonts w:ascii="仿宋_GB2312" w:hAnsi="仿宋_GB2312" w:cs="仿宋_GB2312" w:hint="eastAsia"/>
        </w:rPr>
        <w:t>发展</w:t>
      </w:r>
      <w:r>
        <w:rPr>
          <w:rFonts w:ascii="仿宋_GB2312" w:hAnsi="仿宋_GB2312" w:cs="仿宋_GB2312" w:hint="eastAsia"/>
          <w:lang w:val="zh-CN"/>
        </w:rPr>
        <w:t>出现了</w:t>
      </w:r>
      <w:r>
        <w:rPr>
          <w:rFonts w:ascii="仿宋_GB2312" w:hAnsi="仿宋_GB2312" w:cs="仿宋_GB2312" w:hint="eastAsia"/>
        </w:rPr>
        <w:t>传统技艺传承乏力、戏曲资料未集中收集、后继人才青黄不接、院团创新能力不足、演出市场不规范等诸多问题。</w:t>
      </w:r>
      <w:r>
        <w:rPr>
          <w:rFonts w:ascii="仿宋_GB2312" w:hAnsi="仿宋_GB2312" w:cs="仿宋_GB2312" w:hint="eastAsia"/>
          <w:lang w:val="zh-CN"/>
        </w:rPr>
        <w:t>为</w:t>
      </w:r>
      <w:r>
        <w:rPr>
          <w:rFonts w:ascii="仿宋_GB2312" w:hAnsi="仿宋_GB2312" w:cs="仿宋_GB2312" w:hint="eastAsia"/>
        </w:rPr>
        <w:t>保护传承莆仙戏这一国家级非物质文化遗产</w:t>
      </w:r>
      <w:r>
        <w:rPr>
          <w:rFonts w:ascii="仿宋_GB2312" w:hAnsi="仿宋_GB2312" w:cs="仿宋_GB2312" w:hint="eastAsia"/>
          <w:lang w:val="zh-CN"/>
        </w:rPr>
        <w:t>，</w:t>
      </w:r>
      <w:r>
        <w:rPr>
          <w:rFonts w:ascii="仿宋_GB2312" w:hAnsi="宋体" w:hint="eastAsia"/>
        </w:rPr>
        <w:t>彰显地方文化特色</w:t>
      </w:r>
      <w:r>
        <w:rPr>
          <w:rFonts w:ascii="仿宋_GB2312" w:hAnsi="仿宋_GB2312" w:cs="仿宋_GB2312" w:hint="eastAsia"/>
        </w:rPr>
        <w:t>，为文化强市战略赋能，有必要</w:t>
      </w:r>
      <w:r>
        <w:rPr>
          <w:rFonts w:ascii="仿宋_GB2312" w:hAnsi="仿宋_GB2312" w:cs="仿宋_GB2312" w:hint="eastAsia"/>
          <w:lang w:val="zh-CN"/>
        </w:rPr>
        <w:t>针对存在的问题，通过制定地方性法规，</w:t>
      </w:r>
      <w:r>
        <w:rPr>
          <w:rFonts w:ascii="仿宋_GB2312" w:hAnsi="仿宋_GB2312" w:cs="仿宋_GB2312" w:hint="eastAsia"/>
        </w:rPr>
        <w:t>进一步强化莆仙戏</w:t>
      </w:r>
      <w:r>
        <w:rPr>
          <w:rFonts w:ascii="仿宋_GB2312" w:hAnsi="仿宋_GB2312" w:cs="仿宋_GB2312" w:hint="eastAsia"/>
          <w:lang w:val="zh-CN"/>
        </w:rPr>
        <w:t>保护</w:t>
      </w:r>
      <w:r>
        <w:rPr>
          <w:rFonts w:ascii="仿宋_GB2312" w:hAnsi="仿宋_GB2312" w:cs="仿宋_GB2312" w:hint="eastAsia"/>
        </w:rPr>
        <w:t>传承</w:t>
      </w:r>
      <w:r>
        <w:rPr>
          <w:rFonts w:ascii="仿宋_GB2312" w:hAnsi="仿宋_GB2312" w:cs="仿宋_GB2312" w:hint="eastAsia"/>
          <w:lang w:val="zh-CN"/>
        </w:rPr>
        <w:t>工作</w:t>
      </w:r>
      <w:r>
        <w:rPr>
          <w:rFonts w:ascii="仿宋_GB2312" w:hAnsi="宋体" w:hint="eastAsia"/>
        </w:rPr>
        <w:t>。</w:t>
      </w:r>
    </w:p>
    <w:p w:rsidR="00D61BA5" w:rsidRDefault="00D61BA5" w:rsidP="00D61BA5">
      <w:pPr>
        <w:spacing w:line="600" w:lineRule="exact"/>
        <w:ind w:firstLineChars="200" w:firstLine="640"/>
        <w:rPr>
          <w:rFonts w:ascii="仿宋_GB2312" w:hAnsi="宋体" w:hint="eastAsia"/>
        </w:rPr>
      </w:pPr>
      <w:r>
        <w:rPr>
          <w:rFonts w:ascii="仿宋_GB2312" w:hAnsi="仿宋_GB2312" w:cs="仿宋_GB2312" w:hint="eastAsia"/>
        </w:rPr>
        <w:t>莆田市文旅局立足莆仙戏保护传承经验，在</w:t>
      </w:r>
      <w:r>
        <w:rPr>
          <w:rFonts w:ascii="仿宋_GB2312" w:hAnsi="宋体" w:hint="eastAsia"/>
        </w:rPr>
        <w:t>《关于莆仙戏传承保护和发展的实施意见》（莆委办发〔2016〕6号）以及充分调研的基础上，起草了《莆田市莆仙戏曲传承保护</w:t>
      </w:r>
      <w:r>
        <w:rPr>
          <w:rFonts w:ascii="仿宋_GB2312" w:hAnsi="宋体" w:hint="eastAsia"/>
        </w:rPr>
        <w:lastRenderedPageBreak/>
        <w:t>条例》（征求意见稿）（以下简称《条例》）。</w:t>
      </w:r>
    </w:p>
    <w:p w:rsidR="00D61BA5" w:rsidRDefault="00D61BA5" w:rsidP="00D61BA5">
      <w:pPr>
        <w:spacing w:line="600" w:lineRule="exact"/>
        <w:ind w:firstLineChars="200" w:firstLine="640"/>
        <w:rPr>
          <w:rFonts w:ascii="黑体" w:eastAsia="黑体" w:hAnsi="黑体" w:cs="宋体" w:hint="eastAsia"/>
          <w:bCs/>
        </w:rPr>
      </w:pPr>
      <w:r>
        <w:rPr>
          <w:rFonts w:ascii="黑体" w:eastAsia="黑体" w:hAnsi="黑体" w:cs="宋体" w:hint="eastAsia"/>
          <w:bCs/>
        </w:rPr>
        <w:t>二、条例起草的原则和主要依据</w:t>
      </w:r>
    </w:p>
    <w:p w:rsidR="00D61BA5" w:rsidRDefault="00D61BA5" w:rsidP="00D61BA5">
      <w:pPr>
        <w:widowControl/>
        <w:spacing w:line="580" w:lineRule="exact"/>
        <w:ind w:firstLineChars="200" w:firstLine="640"/>
        <w:rPr>
          <w:rFonts w:eastAsia="楷体" w:hint="eastAsia"/>
          <w:kern w:val="0"/>
        </w:rPr>
      </w:pPr>
      <w:r>
        <w:rPr>
          <w:rFonts w:eastAsia="楷体" w:hint="eastAsia"/>
          <w:kern w:val="0"/>
        </w:rPr>
        <w:t>（一）立法原则</w:t>
      </w:r>
    </w:p>
    <w:p w:rsidR="00D61BA5" w:rsidRDefault="00D61BA5" w:rsidP="00D61BA5">
      <w:pPr>
        <w:spacing w:line="600" w:lineRule="exact"/>
        <w:ind w:firstLineChars="200" w:firstLine="640"/>
        <w:rPr>
          <w:rFonts w:ascii="仿宋_GB2312" w:hAnsi="仿宋_GB2312" w:hint="eastAsia"/>
        </w:rPr>
      </w:pPr>
      <w:r>
        <w:rPr>
          <w:rFonts w:ascii="仿宋_GB2312" w:hAnsi="仿宋_GB2312" w:hint="eastAsia"/>
        </w:rPr>
        <w:t>1.坚持法制统一原则，在《条例》起草工作中，通过梳理莆仙戏传承保护和管理中涉及的法律、法规，既做到不与上位法相抵触，又起到便于实际操作、避免规定碎片化的效果。</w:t>
      </w:r>
    </w:p>
    <w:p w:rsidR="00D61BA5" w:rsidRDefault="00D61BA5" w:rsidP="00D61BA5">
      <w:pPr>
        <w:spacing w:line="600" w:lineRule="exact"/>
        <w:ind w:firstLineChars="200" w:firstLine="640"/>
        <w:rPr>
          <w:rFonts w:ascii="仿宋_GB2312" w:hAnsi="仿宋_GB2312" w:hint="eastAsia"/>
        </w:rPr>
      </w:pPr>
      <w:r>
        <w:rPr>
          <w:rFonts w:ascii="仿宋_GB2312" w:hAnsi="仿宋_GB2312" w:hint="eastAsia"/>
        </w:rPr>
        <w:t>2.按照设区市地方立法补缺原则，不追求“大而全”，而是针对莆仙戏传承保护和管理中存在的实际问题和实际需要进行设定，明确部门职责、立足解决问题。</w:t>
      </w:r>
    </w:p>
    <w:p w:rsidR="00D61BA5" w:rsidRDefault="00D61BA5" w:rsidP="00D61BA5">
      <w:pPr>
        <w:widowControl/>
        <w:spacing w:line="580" w:lineRule="exact"/>
        <w:rPr>
          <w:rFonts w:hint="eastAsia"/>
        </w:rPr>
      </w:pPr>
      <w:r>
        <w:rPr>
          <w:rFonts w:eastAsia="楷体" w:hint="eastAsia"/>
          <w:kern w:val="0"/>
        </w:rPr>
        <w:t xml:space="preserve">  </w:t>
      </w:r>
      <w:r>
        <w:rPr>
          <w:rFonts w:eastAsia="楷体" w:hint="eastAsia"/>
          <w:kern w:val="0"/>
        </w:rPr>
        <w:t>（二）主要依据</w:t>
      </w:r>
    </w:p>
    <w:p w:rsidR="00D61BA5" w:rsidRDefault="00D61BA5" w:rsidP="00D61BA5">
      <w:pPr>
        <w:spacing w:line="600" w:lineRule="exact"/>
        <w:ind w:firstLineChars="200" w:firstLine="640"/>
        <w:rPr>
          <w:rFonts w:ascii="仿宋_GB2312" w:hAnsi="仿宋_GB2312" w:hint="eastAsia"/>
        </w:rPr>
      </w:pPr>
      <w:r>
        <w:rPr>
          <w:rFonts w:ascii="仿宋_GB2312" w:hAnsi="仿宋_GB2312" w:hint="eastAsia"/>
        </w:rPr>
        <w:t>1.法律:《中华人民共和国非物质文化遗产法》。</w:t>
      </w:r>
    </w:p>
    <w:p w:rsidR="00D61BA5" w:rsidRDefault="00D61BA5" w:rsidP="00D61BA5">
      <w:pPr>
        <w:spacing w:line="600" w:lineRule="exact"/>
        <w:ind w:firstLineChars="200" w:firstLine="640"/>
        <w:rPr>
          <w:rFonts w:ascii="仿宋_GB2312" w:hAnsi="仿宋_GB2312" w:hint="eastAsia"/>
        </w:rPr>
      </w:pPr>
      <w:r>
        <w:rPr>
          <w:rFonts w:ascii="仿宋_GB2312" w:hAnsi="仿宋_GB2312" w:hint="eastAsia"/>
        </w:rPr>
        <w:t>2.法规、规章：《福建省非物质文化遗产条例》；《营业性演出管理条例》。</w:t>
      </w:r>
    </w:p>
    <w:p w:rsidR="00D61BA5" w:rsidRDefault="00D61BA5" w:rsidP="00D61BA5">
      <w:pPr>
        <w:spacing w:line="600" w:lineRule="exact"/>
        <w:ind w:firstLineChars="200" w:firstLine="640"/>
        <w:rPr>
          <w:rFonts w:ascii="仿宋_GB2312" w:hAnsi="仿宋_GB2312" w:hint="eastAsia"/>
        </w:rPr>
      </w:pPr>
      <w:r>
        <w:rPr>
          <w:rFonts w:ascii="仿宋_GB2312" w:hAnsi="仿宋_GB2312" w:hint="eastAsia"/>
        </w:rPr>
        <w:t>3.政策性文件：《关于支持戏曲传承发展的若干政策》；《关于深化国有文艺院团改革的意见》；《地方戏曲剧种保护与扶持计划实施方案》；《关于传承和弘扬福建戏曲的若干意见》；《关于莆仙戏传承保护和发展的实施意见》。</w:t>
      </w:r>
    </w:p>
    <w:p w:rsidR="00D61BA5" w:rsidRDefault="00D61BA5" w:rsidP="00D61BA5">
      <w:pPr>
        <w:spacing w:line="600" w:lineRule="exact"/>
        <w:ind w:firstLineChars="200" w:firstLine="640"/>
        <w:rPr>
          <w:rFonts w:ascii="仿宋_GB2312" w:hAnsi="仿宋_GB2312" w:hint="eastAsia"/>
        </w:rPr>
      </w:pPr>
      <w:r>
        <w:rPr>
          <w:rFonts w:ascii="仿宋_GB2312" w:hAnsi="仿宋_GB2312" w:hint="eastAsia"/>
        </w:rPr>
        <w:t>4.兄弟城市立法：《福州市闽剧保护规定》；《苏州市昆曲保护条例》；《广东省粤剧保护传承规定》；《盐城市淮剧保护条例》；《汕头市潮剧保护传承条例》；《陕西省秦腔艺术传承发展条例》；《南充市传统地方戏剧保护条例》等。</w:t>
      </w:r>
    </w:p>
    <w:p w:rsidR="00D61BA5" w:rsidRDefault="00D61BA5" w:rsidP="00D61BA5">
      <w:pPr>
        <w:spacing w:line="600" w:lineRule="exact"/>
        <w:ind w:firstLineChars="200" w:firstLine="640"/>
        <w:rPr>
          <w:rFonts w:ascii="黑体" w:eastAsia="黑体" w:hAnsi="黑体" w:cs="宋体"/>
          <w:bCs/>
        </w:rPr>
      </w:pPr>
      <w:r>
        <w:rPr>
          <w:rFonts w:ascii="黑体" w:eastAsia="黑体" w:hAnsi="黑体" w:cs="宋体" w:hint="eastAsia"/>
          <w:bCs/>
        </w:rPr>
        <w:lastRenderedPageBreak/>
        <w:t>三、主要内容说明</w:t>
      </w:r>
    </w:p>
    <w:p w:rsidR="00D61BA5" w:rsidRDefault="00D61BA5" w:rsidP="00D61BA5">
      <w:pPr>
        <w:spacing w:line="580" w:lineRule="exact"/>
        <w:ind w:firstLineChars="200" w:firstLine="640"/>
        <w:rPr>
          <w:rFonts w:ascii="仿宋_GB2312" w:hAnsi="仿宋_GB2312" w:cs="仿宋_GB2312"/>
          <w:lang w:val="zh-CN"/>
        </w:rPr>
      </w:pPr>
      <w:r>
        <w:rPr>
          <w:rFonts w:ascii="仿宋_GB2312" w:hAnsi="仿宋_GB2312" w:cs="仿宋_GB2312" w:hint="eastAsia"/>
          <w:lang w:val="zh-CN"/>
        </w:rPr>
        <w:t>《</w:t>
      </w:r>
      <w:r>
        <w:rPr>
          <w:rFonts w:ascii="仿宋_GB2312" w:hAnsi="仿宋_GB2312" w:cs="仿宋_GB2312" w:hint="eastAsia"/>
        </w:rPr>
        <w:t>条例</w:t>
      </w:r>
      <w:r>
        <w:rPr>
          <w:rFonts w:ascii="仿宋_GB2312" w:hAnsi="仿宋_GB2312" w:cs="仿宋_GB2312" w:hint="eastAsia"/>
          <w:lang w:val="zh-CN"/>
        </w:rPr>
        <w:t>》</w:t>
      </w:r>
      <w:r>
        <w:rPr>
          <w:rFonts w:ascii="仿宋_GB2312" w:hAnsi="仿宋_GB2312" w:cs="仿宋_GB2312" w:hint="eastAsia"/>
        </w:rPr>
        <w:t>（征求意见稿）</w:t>
      </w:r>
      <w:r>
        <w:rPr>
          <w:rFonts w:ascii="仿宋_GB2312" w:hAnsi="仿宋_GB2312" w:cs="仿宋_GB2312" w:hint="eastAsia"/>
          <w:lang w:val="zh-CN"/>
        </w:rPr>
        <w:t>共二十</w:t>
      </w:r>
      <w:r>
        <w:rPr>
          <w:rFonts w:ascii="仿宋_GB2312" w:hAnsi="仿宋_GB2312" w:cs="仿宋_GB2312" w:hint="eastAsia"/>
        </w:rPr>
        <w:t>八</w:t>
      </w:r>
      <w:r>
        <w:rPr>
          <w:rFonts w:ascii="仿宋_GB2312" w:hAnsi="仿宋_GB2312" w:cs="仿宋_GB2312" w:hint="eastAsia"/>
          <w:lang w:val="zh-CN"/>
        </w:rPr>
        <w:t>条，主要围绕</w:t>
      </w:r>
      <w:r>
        <w:rPr>
          <w:rFonts w:ascii="仿宋_GB2312" w:hAnsi="仿宋_GB2312" w:cs="仿宋_GB2312" w:hint="eastAsia"/>
        </w:rPr>
        <w:t>莆仙戏</w:t>
      </w:r>
      <w:r>
        <w:rPr>
          <w:rFonts w:ascii="仿宋_GB2312" w:hAnsi="仿宋_GB2312" w:cs="仿宋_GB2312" w:hint="eastAsia"/>
          <w:lang w:val="zh-CN"/>
        </w:rPr>
        <w:t>的保护</w:t>
      </w:r>
      <w:r>
        <w:rPr>
          <w:rFonts w:ascii="仿宋_GB2312" w:hAnsi="仿宋_GB2312" w:cs="仿宋_GB2312" w:hint="eastAsia"/>
        </w:rPr>
        <w:t>传承内容、</w:t>
      </w:r>
      <w:r>
        <w:rPr>
          <w:rFonts w:ascii="仿宋_GB2312" w:hAnsi="仿宋_GB2312" w:cs="仿宋_GB2312" w:hint="eastAsia"/>
          <w:lang w:val="zh-CN"/>
        </w:rPr>
        <w:t>管理体制、保护、</w:t>
      </w:r>
      <w:r>
        <w:rPr>
          <w:rFonts w:ascii="仿宋_GB2312" w:hAnsi="仿宋_GB2312" w:cs="仿宋_GB2312" w:hint="eastAsia"/>
        </w:rPr>
        <w:t>传承</w:t>
      </w:r>
      <w:r>
        <w:rPr>
          <w:rFonts w:ascii="仿宋_GB2312" w:hAnsi="仿宋_GB2312" w:cs="仿宋_GB2312" w:hint="eastAsia"/>
          <w:lang w:val="zh-CN"/>
        </w:rPr>
        <w:t>措施</w:t>
      </w:r>
      <w:r>
        <w:rPr>
          <w:rFonts w:ascii="仿宋_GB2312" w:hAnsi="仿宋_GB2312" w:cs="仿宋_GB2312" w:hint="eastAsia"/>
        </w:rPr>
        <w:t>、权利与义务、</w:t>
      </w:r>
      <w:r>
        <w:rPr>
          <w:rFonts w:ascii="仿宋_GB2312" w:hAnsi="仿宋_GB2312" w:cs="仿宋_GB2312" w:hint="eastAsia"/>
          <w:lang w:val="zh-CN"/>
        </w:rPr>
        <w:t>传播、社会力量参与等方面进行规范。</w:t>
      </w:r>
    </w:p>
    <w:p w:rsidR="00D61BA5" w:rsidRDefault="00D61BA5" w:rsidP="00D61BA5">
      <w:pPr>
        <w:spacing w:line="580" w:lineRule="exact"/>
        <w:ind w:firstLineChars="200" w:firstLine="640"/>
        <w:rPr>
          <w:rStyle w:val="NormalCharacter"/>
          <w:rFonts w:hAnsi="仿宋_GB2312"/>
          <w:lang w:val="zh-CN"/>
        </w:rPr>
      </w:pPr>
      <w:r>
        <w:rPr>
          <w:rStyle w:val="NormalCharacter"/>
          <w:rFonts w:ascii="楷体_GB2312" w:eastAsia="楷体_GB2312" w:hAnsi="楷体_GB2312" w:cs="楷体_GB2312" w:hint="eastAsia"/>
        </w:rPr>
        <w:t>（一）关于保护传承内容（第三条）</w:t>
      </w:r>
    </w:p>
    <w:p w:rsidR="00D61BA5" w:rsidRDefault="00D61BA5" w:rsidP="00D61BA5">
      <w:pPr>
        <w:spacing w:line="580" w:lineRule="exact"/>
        <w:ind w:firstLineChars="200" w:firstLine="640"/>
        <w:rPr>
          <w:rStyle w:val="NormalCharacter"/>
          <w:rFonts w:ascii="楷体_GB2312" w:eastAsia="楷体_GB2312" w:hAnsi="楷体_GB2312" w:cs="楷体_GB2312" w:hint="eastAsia"/>
        </w:rPr>
      </w:pPr>
      <w:r>
        <w:rPr>
          <w:rFonts w:ascii="仿宋_GB2312" w:hAnsi="仿宋_GB2312" w:cs="仿宋_GB2312" w:hint="eastAsia"/>
          <w:lang w:val="zh-CN"/>
        </w:rPr>
        <w:t>为了有针对性</w:t>
      </w:r>
      <w:r>
        <w:rPr>
          <w:rFonts w:ascii="仿宋_GB2312" w:hAnsi="仿宋_GB2312" w:cs="仿宋_GB2312" w:hint="eastAsia"/>
        </w:rPr>
        <w:t>地</w:t>
      </w:r>
      <w:r>
        <w:rPr>
          <w:rFonts w:ascii="仿宋_GB2312" w:hAnsi="仿宋_GB2312" w:cs="仿宋_GB2312" w:hint="eastAsia"/>
          <w:lang w:val="zh-CN"/>
        </w:rPr>
        <w:t>解决</w:t>
      </w:r>
      <w:r>
        <w:rPr>
          <w:rFonts w:ascii="仿宋_GB2312" w:hAnsi="仿宋_GB2312" w:cs="仿宋_GB2312" w:hint="eastAsia"/>
        </w:rPr>
        <w:t>莆仙戏</w:t>
      </w:r>
      <w:r>
        <w:rPr>
          <w:rFonts w:ascii="仿宋_GB2312" w:hAnsi="仿宋_GB2312" w:cs="仿宋_GB2312" w:hint="eastAsia"/>
          <w:lang w:val="zh-CN"/>
        </w:rPr>
        <w:t>保护传承突出问题，《</w:t>
      </w:r>
      <w:r>
        <w:rPr>
          <w:rFonts w:ascii="仿宋_GB2312" w:hAnsi="仿宋_GB2312" w:cs="仿宋_GB2312" w:hint="eastAsia"/>
        </w:rPr>
        <w:t>条例</w:t>
      </w:r>
      <w:r>
        <w:rPr>
          <w:rFonts w:ascii="仿宋_GB2312" w:hAnsi="仿宋_GB2312" w:cs="仿宋_GB2312" w:hint="eastAsia"/>
          <w:lang w:val="zh-CN"/>
        </w:rPr>
        <w:t>》（</w:t>
      </w:r>
      <w:r>
        <w:rPr>
          <w:rFonts w:ascii="仿宋_GB2312" w:hAnsi="仿宋_GB2312" w:cs="仿宋_GB2312" w:hint="eastAsia"/>
        </w:rPr>
        <w:t>征求意见稿</w:t>
      </w:r>
      <w:r>
        <w:rPr>
          <w:rFonts w:ascii="仿宋_GB2312" w:hAnsi="仿宋_GB2312" w:cs="仿宋_GB2312" w:hint="eastAsia"/>
          <w:lang w:val="zh-CN"/>
        </w:rPr>
        <w:t>）第三条借鉴《非物质文化遗产法》《福建省非物质文化遗产条例》等法律法规对非物质文化遗产的定义和内涵构成的相关规定，</w:t>
      </w:r>
      <w:r>
        <w:rPr>
          <w:rFonts w:ascii="仿宋_GB2312" w:hAnsi="仿宋_GB2312" w:cs="仿宋_GB2312" w:hint="eastAsia"/>
        </w:rPr>
        <w:t>结合莆仙戏特点，明确了莆仙戏的</w:t>
      </w:r>
      <w:r>
        <w:rPr>
          <w:rFonts w:ascii="仿宋_GB2312" w:hint="eastAsia"/>
          <w:lang w:val="zh-CN"/>
        </w:rPr>
        <w:t>保护传承</w:t>
      </w:r>
      <w:r>
        <w:rPr>
          <w:rFonts w:ascii="仿宋_GB2312" w:hAnsi="仿宋_GB2312" w:cs="仿宋_GB2312" w:hint="eastAsia"/>
        </w:rPr>
        <w:t>内容</w:t>
      </w:r>
      <w:r>
        <w:rPr>
          <w:rFonts w:ascii="仿宋_GB2312" w:hAnsi="仿宋_GB2312" w:cs="仿宋_GB2312" w:hint="eastAsia"/>
          <w:lang w:val="zh-CN"/>
        </w:rPr>
        <w:t>，</w:t>
      </w:r>
      <w:r>
        <w:rPr>
          <w:rFonts w:ascii="仿宋_GB2312" w:hAnsi="仿宋_GB2312" w:cs="仿宋_GB2312" w:hint="eastAsia"/>
        </w:rPr>
        <w:t>即</w:t>
      </w:r>
      <w:r>
        <w:rPr>
          <w:rFonts w:ascii="仿宋" w:eastAsia="仿宋" w:hAnsi="仿宋" w:cs="仿宋" w:hint="eastAsia"/>
          <w:sz w:val="31"/>
          <w:szCs w:val="31"/>
          <w:shd w:val="clear" w:color="auto" w:fill="FFFFFF"/>
        </w:rPr>
        <w:t>具有历史、美学、艺术价值的莆仙戏传统艺术形式以及相关的实物和场所，包括</w:t>
      </w:r>
      <w:r>
        <w:rPr>
          <w:rFonts w:ascii="仿宋_GB2312" w:eastAsia="仿宋" w:hAnsi="仿宋_GB2312" w:cs="仿宋_GB2312" w:hint="eastAsia"/>
        </w:rPr>
        <w:t>莆仙戏</w:t>
      </w:r>
      <w:r>
        <w:rPr>
          <w:rFonts w:ascii="仿宋_GB2312" w:hAnsi="仿宋_GB2312" w:cs="仿宋_GB2312" w:hint="eastAsia"/>
          <w:lang w:val="zh-CN"/>
        </w:rPr>
        <w:t>的方言声腔、优秀传统剧目、剧本、曲谱、文献资料、器具实物以及</w:t>
      </w:r>
      <w:r>
        <w:rPr>
          <w:rFonts w:ascii="仿宋_GB2312" w:hAnsi="仿宋_GB2312" w:cs="仿宋_GB2312" w:hint="eastAsia"/>
        </w:rPr>
        <w:t>莆仙戏</w:t>
      </w:r>
      <w:r>
        <w:rPr>
          <w:rFonts w:ascii="仿宋_GB2312" w:hAnsi="仿宋_GB2312" w:cs="仿宋_GB2312" w:hint="eastAsia"/>
          <w:lang w:val="zh-CN"/>
        </w:rPr>
        <w:t>特有的传统习俗等。</w:t>
      </w:r>
    </w:p>
    <w:p w:rsidR="00D61BA5" w:rsidRDefault="00D61BA5" w:rsidP="00D61BA5">
      <w:pPr>
        <w:spacing w:line="580" w:lineRule="exact"/>
        <w:ind w:firstLineChars="200" w:firstLine="640"/>
        <w:rPr>
          <w:rStyle w:val="NormalCharacter"/>
          <w:rFonts w:hAnsi="仿宋_GB2312"/>
          <w:lang w:val="zh-CN"/>
        </w:rPr>
      </w:pPr>
      <w:r>
        <w:rPr>
          <w:rStyle w:val="NormalCharacter"/>
          <w:rFonts w:ascii="楷体_GB2312" w:eastAsia="楷体_GB2312" w:hAnsi="楷体_GB2312" w:cs="楷体_GB2312" w:hint="eastAsia"/>
        </w:rPr>
        <w:t>（二）关于保护传承管理体制（第五条）</w:t>
      </w:r>
    </w:p>
    <w:p w:rsidR="00D61BA5" w:rsidRDefault="00D61BA5" w:rsidP="00D61BA5">
      <w:pPr>
        <w:spacing w:line="580" w:lineRule="exact"/>
        <w:ind w:firstLineChars="200" w:firstLine="640"/>
        <w:rPr>
          <w:rStyle w:val="NormalCharacter"/>
          <w:rFonts w:hAnsi="仿宋_GB2312" w:hint="eastAsia"/>
        </w:rPr>
      </w:pPr>
      <w:r>
        <w:rPr>
          <w:rStyle w:val="NormalCharacter"/>
          <w:rFonts w:hAnsi="仿宋_GB2312" w:hint="eastAsia"/>
        </w:rPr>
        <w:t>为了有针对性地解决本市莆仙戏保护传承中的突出问题，进一步理顺我市莆仙戏的保护传承管理体制，</w:t>
      </w:r>
      <w:r>
        <w:rPr>
          <w:rFonts w:ascii="仿宋_GB2312" w:hAnsi="仿宋_GB2312" w:cs="仿宋_GB2312" w:hint="eastAsia"/>
          <w:lang w:val="zh-CN"/>
        </w:rPr>
        <w:t>《</w:t>
      </w:r>
      <w:r>
        <w:rPr>
          <w:rFonts w:ascii="仿宋_GB2312" w:hAnsi="仿宋_GB2312" w:cs="仿宋_GB2312" w:hint="eastAsia"/>
        </w:rPr>
        <w:t>条例</w:t>
      </w:r>
      <w:r>
        <w:rPr>
          <w:rFonts w:ascii="仿宋_GB2312" w:hAnsi="仿宋_GB2312" w:cs="仿宋_GB2312" w:hint="eastAsia"/>
          <w:lang w:val="zh-CN"/>
        </w:rPr>
        <w:t>》（</w:t>
      </w:r>
      <w:r>
        <w:rPr>
          <w:rFonts w:ascii="仿宋_GB2312" w:hAnsi="仿宋_GB2312" w:cs="仿宋_GB2312" w:hint="eastAsia"/>
        </w:rPr>
        <w:t>征求意见稿</w:t>
      </w:r>
      <w:r>
        <w:rPr>
          <w:rFonts w:ascii="仿宋_GB2312" w:hAnsi="仿宋_GB2312" w:cs="仿宋_GB2312" w:hint="eastAsia"/>
          <w:lang w:val="zh-CN"/>
        </w:rPr>
        <w:t>）</w:t>
      </w:r>
      <w:r>
        <w:rPr>
          <w:rStyle w:val="NormalCharacter"/>
          <w:rFonts w:hAnsi="仿宋_GB2312" w:hint="eastAsia"/>
        </w:rPr>
        <w:t>确定了由市、县（区、管委会）人民政府组织领导、</w:t>
      </w:r>
      <w:r>
        <w:rPr>
          <w:rFonts w:hint="eastAsia"/>
        </w:rPr>
        <w:t>统筹协调，</w:t>
      </w:r>
      <w:r>
        <w:rPr>
          <w:rStyle w:val="NormalCharacter"/>
          <w:rFonts w:hAnsi="仿宋_GB2312" w:hint="eastAsia"/>
        </w:rPr>
        <w:t>文旅主管部门具体负责、相关部门协作配合的多层次保护管理体制。</w:t>
      </w:r>
    </w:p>
    <w:p w:rsidR="00D61BA5" w:rsidRDefault="00D61BA5" w:rsidP="00D61BA5">
      <w:pPr>
        <w:spacing w:line="580" w:lineRule="exact"/>
        <w:ind w:firstLineChars="200" w:firstLine="640"/>
        <w:rPr>
          <w:rStyle w:val="NormalCharacter"/>
          <w:rFonts w:ascii="楷体_GB2312" w:eastAsia="楷体_GB2312" w:hAnsi="楷体_GB2312" w:cs="楷体_GB2312"/>
        </w:rPr>
      </w:pPr>
      <w:r>
        <w:rPr>
          <w:rStyle w:val="NormalCharacter"/>
          <w:rFonts w:ascii="楷体_GB2312" w:eastAsia="楷体_GB2312" w:hAnsi="楷体_GB2312" w:cs="楷体_GB2312" w:hint="eastAsia"/>
        </w:rPr>
        <w:t>（三）关于莆仙戏保护措施（第六、七、十三、二十条，第二十三条至第二十五条）</w:t>
      </w:r>
    </w:p>
    <w:p w:rsidR="00D61BA5" w:rsidRDefault="00D61BA5" w:rsidP="00D61BA5">
      <w:pPr>
        <w:spacing w:line="580" w:lineRule="exact"/>
        <w:ind w:firstLineChars="200" w:firstLine="640"/>
        <w:rPr>
          <w:rStyle w:val="NormalCharacter"/>
          <w:rFonts w:hAnsi="仿宋_GB2312" w:hint="eastAsia"/>
        </w:rPr>
      </w:pPr>
      <w:r>
        <w:rPr>
          <w:rStyle w:val="NormalCharacter"/>
          <w:rFonts w:hAnsi="仿宋_GB2312" w:hint="eastAsia"/>
        </w:rPr>
        <w:t>为加大对莆仙戏保护的工作力度，</w:t>
      </w:r>
      <w:r>
        <w:rPr>
          <w:rFonts w:ascii="仿宋_GB2312" w:hAnsi="仿宋_GB2312" w:cs="仿宋_GB2312" w:hint="eastAsia"/>
          <w:lang w:val="zh-CN"/>
        </w:rPr>
        <w:t>《</w:t>
      </w:r>
      <w:r>
        <w:rPr>
          <w:rFonts w:ascii="仿宋_GB2312" w:hAnsi="仿宋_GB2312" w:cs="仿宋_GB2312" w:hint="eastAsia"/>
        </w:rPr>
        <w:t>条例</w:t>
      </w:r>
      <w:r>
        <w:rPr>
          <w:rFonts w:ascii="仿宋_GB2312" w:hAnsi="仿宋_GB2312" w:cs="仿宋_GB2312" w:hint="eastAsia"/>
          <w:lang w:val="zh-CN"/>
        </w:rPr>
        <w:t>》（</w:t>
      </w:r>
      <w:r>
        <w:rPr>
          <w:rFonts w:ascii="仿宋_GB2312" w:hAnsi="仿宋_GB2312" w:cs="仿宋_GB2312" w:hint="eastAsia"/>
        </w:rPr>
        <w:t>征求意见稿</w:t>
      </w:r>
      <w:r>
        <w:rPr>
          <w:rFonts w:ascii="仿宋_GB2312" w:hAnsi="仿宋_GB2312" w:cs="仿宋_GB2312" w:hint="eastAsia"/>
          <w:lang w:val="zh-CN"/>
        </w:rPr>
        <w:t>）</w:t>
      </w:r>
      <w:r>
        <w:rPr>
          <w:rStyle w:val="NormalCharacter"/>
          <w:rFonts w:hAnsi="仿宋_GB2312" w:hint="eastAsia"/>
        </w:rPr>
        <w:t>从资源保护、经费保障、将莆仙戏演出纳入政府购买服务项目、</w:t>
      </w:r>
      <w:r>
        <w:rPr>
          <w:rFonts w:hint="eastAsia"/>
        </w:rPr>
        <w:t>支持民营剧团演出、</w:t>
      </w:r>
      <w:r>
        <w:rPr>
          <w:rFonts w:ascii="仿宋_GB2312" w:hAnsi="仿宋_GB2312" w:cs="仿宋_GB2312" w:hint="eastAsia"/>
        </w:rPr>
        <w:t>加强演出市场监管、保障艺术</w:t>
      </w:r>
      <w:r>
        <w:rPr>
          <w:rFonts w:ascii="仿宋_GB2312" w:hAnsi="仿宋_GB2312" w:cs="仿宋_GB2312" w:hint="eastAsia"/>
        </w:rPr>
        <w:lastRenderedPageBreak/>
        <w:t>创作表演单位和个人的合法权益、</w:t>
      </w:r>
      <w:r>
        <w:rPr>
          <w:rStyle w:val="NormalCharacter"/>
          <w:rFonts w:hAnsi="仿宋_GB2312" w:hint="eastAsia"/>
        </w:rPr>
        <w:t>基础设施建设等方面作了规定。</w:t>
      </w:r>
    </w:p>
    <w:p w:rsidR="00D61BA5" w:rsidRDefault="00D61BA5" w:rsidP="00D61BA5">
      <w:pPr>
        <w:spacing w:line="580" w:lineRule="exact"/>
        <w:ind w:firstLineChars="200" w:firstLine="640"/>
        <w:rPr>
          <w:rStyle w:val="NormalCharacter"/>
          <w:rFonts w:hAnsi="仿宋_GB2312" w:hint="eastAsia"/>
        </w:rPr>
      </w:pPr>
      <w:r>
        <w:rPr>
          <w:rStyle w:val="NormalCharacter"/>
          <w:rFonts w:hAnsi="仿宋_GB2312" w:hint="eastAsia"/>
        </w:rPr>
        <w:t>其中，第六条、第七条规定</w:t>
      </w:r>
      <w:r>
        <w:rPr>
          <w:rFonts w:ascii="仿宋" w:eastAsia="仿宋" w:hAnsi="仿宋" w:cs="仿宋" w:hint="eastAsia"/>
          <w:shd w:val="clear" w:color="auto" w:fill="FFFFFF"/>
        </w:rPr>
        <w:t>市、县（区、管委会）人民政府文旅主管部门</w:t>
      </w:r>
      <w:r>
        <w:rPr>
          <w:rStyle w:val="NormalCharacter"/>
          <w:rFonts w:hAnsi="仿宋_GB2312" w:hint="eastAsia"/>
        </w:rPr>
        <w:t>应当建立莆仙戏资料档案和相关数据库、资源保护清单等保护措措施。第十三条规定</w:t>
      </w:r>
      <w:r>
        <w:rPr>
          <w:rFonts w:ascii="仿宋" w:eastAsia="仿宋" w:hAnsi="仿宋" w:cs="仿宋" w:hint="eastAsia"/>
          <w:shd w:val="clear" w:color="auto" w:fill="FFFFFF"/>
        </w:rPr>
        <w:t>市、县（区</w:t>
      </w:r>
      <w:r>
        <w:rPr>
          <w:rFonts w:ascii="仿宋_GB2312" w:hAnsi="宋体" w:hint="eastAsia"/>
        </w:rPr>
        <w:t>、</w:t>
      </w:r>
      <w:r>
        <w:rPr>
          <w:rFonts w:ascii="仿宋" w:eastAsia="仿宋" w:hAnsi="仿宋" w:cs="仿宋" w:hint="eastAsia"/>
          <w:shd w:val="clear" w:color="auto" w:fill="FFFFFF"/>
        </w:rPr>
        <w:t>管委会）人民政府应当在年度财政预算中安排莆仙戏保障经费。对莆仙戏传承保护的专业院团经费纳入财政统筹，给予各院团稳定的资金保障，并逐年增加。在文化交流、重大演出、重点赛事等传承展示活动中，建立一事一议、专项经费的拨款。对列入莆仙戏资源保护清单的民间职业剧团进行演出补助。</w:t>
      </w:r>
      <w:r>
        <w:rPr>
          <w:rStyle w:val="NormalCharacter"/>
          <w:rFonts w:hAnsi="仿宋_GB2312" w:hint="eastAsia"/>
        </w:rPr>
        <w:t>第二十条规定文旅主管部门可以采取政府购买的方式开展与莆仙戏相关活动。第二十三条至第二十五条规定市、县</w:t>
      </w:r>
      <w:r>
        <w:rPr>
          <w:rStyle w:val="NormalCharacter"/>
          <w:rFonts w:hAnsi="仿宋_GB2312" w:hint="eastAsia"/>
        </w:rPr>
        <w:t>(</w:t>
      </w:r>
      <w:r>
        <w:rPr>
          <w:rStyle w:val="NormalCharacter"/>
          <w:rFonts w:hAnsi="仿宋_GB2312" w:hint="eastAsia"/>
        </w:rPr>
        <w:t>区、管委会</w:t>
      </w:r>
      <w:r>
        <w:rPr>
          <w:rStyle w:val="NormalCharacter"/>
          <w:rFonts w:hAnsi="仿宋_GB2312" w:hint="eastAsia"/>
        </w:rPr>
        <w:t>)</w:t>
      </w:r>
      <w:r>
        <w:rPr>
          <w:rStyle w:val="NormalCharacter"/>
          <w:rFonts w:hAnsi="仿宋_GB2312" w:hint="eastAsia"/>
        </w:rPr>
        <w:t>市场监督管理局、文旅局等有关部门应当建立市场巡查责任制度和点戏平台等信息发布渠道，加强对市场的监管，打击违法违规演出活动，规范莆仙戏演出市场经营秩序。市、县（区、管委会）人民政府应当加强莆仙戏基础设施建设，</w:t>
      </w:r>
      <w:r>
        <w:rPr>
          <w:rFonts w:ascii="仿宋" w:eastAsia="仿宋" w:hAnsi="仿宋" w:cs="仿宋" w:hint="eastAsia"/>
          <w:shd w:val="clear" w:color="auto" w:fill="FFFFFF"/>
        </w:rPr>
        <w:t>将</w:t>
      </w:r>
      <w:r>
        <w:rPr>
          <w:rFonts w:ascii="仿宋" w:eastAsia="仿宋" w:hAnsi="仿宋" w:cs="仿宋"/>
          <w:shd w:val="clear" w:color="auto" w:fill="FFFFFF"/>
        </w:rPr>
        <w:t>闲置的公共场所或者国有闲置房屋改造为</w:t>
      </w:r>
      <w:r>
        <w:rPr>
          <w:rFonts w:ascii="仿宋" w:eastAsia="仿宋" w:hAnsi="仿宋" w:cs="仿宋" w:hint="eastAsia"/>
          <w:shd w:val="clear" w:color="auto" w:fill="FFFFFF"/>
        </w:rPr>
        <w:t>莆仙戏</w:t>
      </w:r>
      <w:r>
        <w:rPr>
          <w:rFonts w:ascii="仿宋" w:eastAsia="仿宋" w:hAnsi="仿宋" w:cs="仿宋"/>
          <w:shd w:val="clear" w:color="auto" w:fill="FFFFFF"/>
        </w:rPr>
        <w:t>活动场所</w:t>
      </w:r>
      <w:r>
        <w:rPr>
          <w:rFonts w:ascii="仿宋" w:eastAsia="仿宋" w:hAnsi="仿宋" w:cs="仿宋" w:hint="eastAsia"/>
          <w:shd w:val="clear" w:color="auto" w:fill="FFFFFF"/>
        </w:rPr>
        <w:t>，</w:t>
      </w:r>
      <w:r>
        <w:rPr>
          <w:rStyle w:val="NormalCharacter"/>
          <w:rFonts w:hAnsi="仿宋_GB2312" w:hint="eastAsia"/>
        </w:rPr>
        <w:t>合理布局莆仙戏演出空间。</w:t>
      </w:r>
      <w:r>
        <w:rPr>
          <w:rStyle w:val="NormalCharacter"/>
          <w:rFonts w:hAnsi="仿宋_GB2312" w:hint="eastAsia"/>
        </w:rPr>
        <w:t xml:space="preserve">      </w:t>
      </w:r>
    </w:p>
    <w:p w:rsidR="00D61BA5" w:rsidRDefault="00D61BA5" w:rsidP="00D61BA5">
      <w:pPr>
        <w:spacing w:line="580" w:lineRule="exact"/>
        <w:ind w:firstLineChars="200" w:firstLine="640"/>
        <w:rPr>
          <w:rStyle w:val="NormalCharacter"/>
          <w:rFonts w:ascii="楷体_GB2312" w:eastAsia="楷体_GB2312" w:hAnsi="楷体_GB2312" w:cs="楷体_GB2312"/>
        </w:rPr>
      </w:pPr>
      <w:r>
        <w:rPr>
          <w:rStyle w:val="NormalCharacter"/>
          <w:rFonts w:ascii="楷体_GB2312" w:eastAsia="楷体_GB2312" w:hAnsi="楷体_GB2312" w:cs="楷体_GB2312" w:hint="eastAsia"/>
        </w:rPr>
        <w:t>（四）关于莆仙戏项目保护单位和代表性传承人的权利与义务（第八条至第十二条、第二十六条）</w:t>
      </w:r>
    </w:p>
    <w:p w:rsidR="00D61BA5" w:rsidRDefault="00D61BA5" w:rsidP="00D61BA5">
      <w:pPr>
        <w:spacing w:line="580" w:lineRule="exact"/>
        <w:ind w:firstLineChars="200" w:firstLine="640"/>
        <w:rPr>
          <w:rFonts w:ascii="仿宋_GB2312" w:hAnsi="仿宋_GB2312" w:cs="仿宋_GB2312"/>
        </w:rPr>
      </w:pPr>
      <w:r>
        <w:rPr>
          <w:rFonts w:ascii="仿宋_GB2312" w:hAnsi="仿宋_GB2312" w:cs="仿宋_GB2312" w:hint="eastAsia"/>
          <w:lang w:val="zh-CN"/>
        </w:rPr>
        <w:t>《</w:t>
      </w:r>
      <w:r>
        <w:rPr>
          <w:rFonts w:ascii="仿宋_GB2312" w:hAnsi="仿宋_GB2312" w:cs="仿宋_GB2312" w:hint="eastAsia"/>
        </w:rPr>
        <w:t>条例</w:t>
      </w:r>
      <w:r>
        <w:rPr>
          <w:rFonts w:ascii="仿宋_GB2312" w:hAnsi="仿宋_GB2312" w:cs="仿宋_GB2312" w:hint="eastAsia"/>
          <w:lang w:val="zh-CN"/>
        </w:rPr>
        <w:t>》（</w:t>
      </w:r>
      <w:r>
        <w:rPr>
          <w:rFonts w:ascii="仿宋_GB2312" w:hAnsi="仿宋_GB2312" w:cs="仿宋_GB2312" w:hint="eastAsia"/>
        </w:rPr>
        <w:t>征求意见稿</w:t>
      </w:r>
      <w:r>
        <w:rPr>
          <w:rFonts w:ascii="仿宋_GB2312" w:hAnsi="仿宋_GB2312" w:cs="仿宋_GB2312" w:hint="eastAsia"/>
          <w:lang w:val="zh-CN"/>
        </w:rPr>
        <w:t>）</w:t>
      </w:r>
      <w:r>
        <w:rPr>
          <w:rFonts w:ascii="仿宋_GB2312" w:hAnsi="仿宋_GB2312" w:cs="仿宋_GB2312" w:hint="eastAsia"/>
        </w:rPr>
        <w:t>明确了莆仙戏项目保护单位的五项权利、八项义务。莆仙戏项目代表性传承人的七项权利、五项义务。规定莆仙戏项目保护单位、代表性传承人无正当理由不履行传承义务，或者因其他原因无法履行传承义务的，</w:t>
      </w:r>
      <w:r>
        <w:rPr>
          <w:rFonts w:ascii="仿宋_GB2312" w:hAnsi="仿宋_GB2312" w:cs="仿宋_GB2312" w:hint="eastAsia"/>
        </w:rPr>
        <w:lastRenderedPageBreak/>
        <w:t>文旅主管部门可以取消其保护单位、代表性传承人资格，重新认定该项目的保护单位、代表性传承人。</w:t>
      </w:r>
    </w:p>
    <w:p w:rsidR="00D61BA5" w:rsidRDefault="00D61BA5" w:rsidP="00D61BA5">
      <w:pPr>
        <w:spacing w:line="580" w:lineRule="exact"/>
        <w:ind w:firstLineChars="200" w:firstLine="640"/>
        <w:rPr>
          <w:rStyle w:val="NormalCharacter"/>
          <w:rFonts w:ascii="楷体_GB2312" w:eastAsia="楷体_GB2312" w:hAnsi="楷体_GB2312" w:cs="楷体_GB2312"/>
        </w:rPr>
      </w:pPr>
      <w:r>
        <w:rPr>
          <w:rFonts w:ascii="仿宋_GB2312" w:hAnsi="仿宋_GB2312" w:cs="仿宋_GB2312" w:hint="eastAsia"/>
        </w:rPr>
        <w:t>（五）</w:t>
      </w:r>
      <w:r>
        <w:rPr>
          <w:rStyle w:val="NormalCharacter"/>
          <w:rFonts w:ascii="楷体_GB2312" w:eastAsia="楷体_GB2312" w:hAnsi="楷体_GB2312" w:cs="楷体_GB2312" w:hint="eastAsia"/>
        </w:rPr>
        <w:t>莆仙戏的传承（第十四条至第十六条）</w:t>
      </w:r>
    </w:p>
    <w:p w:rsidR="00D61BA5" w:rsidRDefault="00D61BA5" w:rsidP="00D61BA5">
      <w:pPr>
        <w:spacing w:line="580" w:lineRule="exact"/>
        <w:ind w:firstLineChars="200" w:firstLine="640"/>
        <w:rPr>
          <w:rFonts w:ascii="仿宋_GB2312" w:hAnsi="仿宋_GB2312" w:cs="仿宋_GB2312" w:hint="eastAsia"/>
        </w:rPr>
      </w:pPr>
      <w:r>
        <w:rPr>
          <w:rStyle w:val="NormalCharacter"/>
          <w:rFonts w:hAnsi="仿宋_GB2312" w:hint="eastAsia"/>
        </w:rPr>
        <w:t>针对莆仙戏行业人才培养、人才引进、人才晋升等问题，</w:t>
      </w:r>
      <w:r>
        <w:rPr>
          <w:rFonts w:ascii="仿宋_GB2312" w:hAnsi="仿宋_GB2312" w:cs="仿宋_GB2312" w:hint="eastAsia"/>
          <w:lang w:val="zh-CN"/>
        </w:rPr>
        <w:t>《</w:t>
      </w:r>
      <w:r>
        <w:rPr>
          <w:rFonts w:ascii="仿宋_GB2312" w:hAnsi="仿宋_GB2312" w:cs="仿宋_GB2312" w:hint="eastAsia"/>
        </w:rPr>
        <w:t>条例</w:t>
      </w:r>
      <w:r>
        <w:rPr>
          <w:rFonts w:ascii="仿宋_GB2312" w:hAnsi="仿宋_GB2312" w:cs="仿宋_GB2312" w:hint="eastAsia"/>
          <w:lang w:val="zh-CN"/>
        </w:rPr>
        <w:t>》（</w:t>
      </w:r>
      <w:r>
        <w:rPr>
          <w:rFonts w:ascii="仿宋_GB2312" w:hAnsi="仿宋_GB2312" w:cs="仿宋_GB2312" w:hint="eastAsia"/>
        </w:rPr>
        <w:t>征求意见稿</w:t>
      </w:r>
      <w:r>
        <w:rPr>
          <w:rFonts w:ascii="仿宋_GB2312" w:hAnsi="仿宋_GB2312" w:cs="仿宋_GB2312" w:hint="eastAsia"/>
          <w:lang w:val="zh-CN"/>
        </w:rPr>
        <w:t>）</w:t>
      </w:r>
      <w:r>
        <w:rPr>
          <w:rFonts w:ascii="仿宋_GB2312" w:hAnsi="仿宋_GB2312" w:cs="仿宋_GB2312" w:hint="eastAsia"/>
        </w:rPr>
        <w:t>第十四条规定</w:t>
      </w:r>
      <w:r>
        <w:rPr>
          <w:rFonts w:ascii="仿宋_GB2312" w:hAnsi="仿宋_GB2312" w:cs="仿宋_GB2312" w:hint="eastAsia"/>
          <w:lang w:val="zh-CN"/>
        </w:rPr>
        <w:t>市、县（区、管委会）教育主管部门培养莆仙戏后继人才应当采取</w:t>
      </w:r>
      <w:r>
        <w:rPr>
          <w:rFonts w:ascii="仿宋_GB2312" w:hAnsi="仿宋_GB2312" w:cs="仿宋_GB2312" w:hint="eastAsia"/>
        </w:rPr>
        <w:t>的六项措施。第十五条规定市、县（区、管委会）人民政府应当支持国有院团按规定引进莆仙戏专业相关人才，或者通过专家评估和专业技能考核等方式聘用莆仙戏编剧、导演、音乐、舞台美术、表演等特殊人才；对高层次人才、关键岗位、业务骨干或者紧缺急需人才，可以实行协议工资、项目工资、年薪制等分配方式。第十六条规定市、县（区、管委会）人力资源和社会保障主管部门对莆仙戏从业人员，在职称申报和评审中根据实际情况予以政策倾斜；对有突出贡献、公众认可、或者长期服务基层的优秀莆仙戏艺术人才开辟绿色通道，适当放宽职称申报条件。</w:t>
      </w:r>
    </w:p>
    <w:p w:rsidR="00D61BA5" w:rsidRDefault="00D61BA5" w:rsidP="00D61BA5">
      <w:pPr>
        <w:spacing w:line="580" w:lineRule="exact"/>
        <w:ind w:firstLineChars="200" w:firstLine="640"/>
        <w:rPr>
          <w:rStyle w:val="NormalCharacter"/>
          <w:rFonts w:ascii="楷体_GB2312" w:eastAsia="楷体_GB2312" w:hAnsi="楷体_GB2312" w:cs="楷体_GB2312"/>
        </w:rPr>
      </w:pPr>
      <w:r>
        <w:rPr>
          <w:rFonts w:ascii="仿宋_GB2312" w:hAnsi="仿宋_GB2312" w:cs="仿宋_GB2312" w:hint="eastAsia"/>
        </w:rPr>
        <w:t xml:space="preserve"> </w:t>
      </w:r>
      <w:r>
        <w:rPr>
          <w:rStyle w:val="NormalCharacter"/>
          <w:rFonts w:ascii="楷体_GB2312" w:eastAsia="楷体_GB2312" w:hAnsi="楷体_GB2312" w:cs="楷体_GB2312" w:hint="eastAsia"/>
        </w:rPr>
        <w:t>（六）关于莆仙戏的传播（第十七条至第十九条）</w:t>
      </w:r>
    </w:p>
    <w:p w:rsidR="00D61BA5" w:rsidRPr="00D61BA5" w:rsidRDefault="00D61BA5" w:rsidP="00D61BA5">
      <w:pPr>
        <w:pStyle w:val="p19"/>
        <w:widowControl w:val="0"/>
        <w:spacing w:line="580" w:lineRule="exact"/>
        <w:ind w:firstLineChars="200" w:firstLine="640"/>
        <w:textAlignment w:val="baseline"/>
        <w:rPr>
          <w:rFonts w:ascii="仿宋_GB2312" w:eastAsia="仿宋_GB2312" w:cs="仿宋_GB2312" w:hint="eastAsia"/>
          <w:kern w:val="2"/>
          <w:sz w:val="32"/>
          <w:szCs w:val="32"/>
        </w:rPr>
      </w:pPr>
      <w:r w:rsidRPr="00D61BA5">
        <w:rPr>
          <w:rFonts w:ascii="仿宋_GB2312" w:eastAsia="仿宋_GB2312" w:cs="仿宋_GB2312" w:hint="eastAsia"/>
          <w:kern w:val="2"/>
          <w:sz w:val="32"/>
          <w:szCs w:val="32"/>
        </w:rPr>
        <w:t>在坚持保护为主、有效传承发展的前提下，传播是保护传承莆仙戏的重要途径。《条例》（征求意见稿）第十七条规定市、县（区、管委会）人民政府及其文旅主管部门可以结合节庆、民俗、旅游推介、公共服务等活动，在商贸中心（集市）、旅游景点、特色街区（乡镇）等集中展示展演莆仙戏艺术。鼓励和支持莆仙戏院团与旅游景区（点）合作，开展莆仙戏演出、展示等活动，促进文化与旅游融合发展。</w:t>
      </w:r>
      <w:r w:rsidRPr="00D61BA5">
        <w:rPr>
          <w:rFonts w:ascii="仿宋_GB2312" w:eastAsia="仿宋_GB2312" w:cs="仿宋_GB2312" w:hint="eastAsia"/>
          <w:kern w:val="2"/>
          <w:sz w:val="32"/>
          <w:szCs w:val="32"/>
        </w:rPr>
        <w:lastRenderedPageBreak/>
        <w:t xml:space="preserve">在第十八条中规定鼓励莆仙戏对外交流，支持莆仙戏院团开展国内外巡演、展演。在第十九条规定市、县（区、管委会）人民政府及其文旅主管部门和报刊、广播电视、互联网等媒体，应当通过点戏平台、专题专栏等方式普及、宣传、推广莆仙戏艺术。 </w:t>
      </w:r>
    </w:p>
    <w:p w:rsidR="00D61BA5" w:rsidRDefault="00D61BA5" w:rsidP="00D61BA5">
      <w:pPr>
        <w:spacing w:line="580" w:lineRule="exact"/>
        <w:ind w:firstLineChars="200" w:firstLine="640"/>
        <w:rPr>
          <w:rStyle w:val="NormalCharacter"/>
          <w:rFonts w:ascii="楷体_GB2312" w:eastAsia="楷体_GB2312" w:hAnsi="楷体_GB2312" w:cs="楷体_GB2312"/>
        </w:rPr>
      </w:pPr>
      <w:r>
        <w:rPr>
          <w:rStyle w:val="NormalCharacter"/>
          <w:rFonts w:ascii="楷体_GB2312" w:eastAsia="楷体_GB2312" w:hAnsi="楷体_GB2312" w:cs="楷体_GB2312" w:hint="eastAsia"/>
        </w:rPr>
        <w:t>（七）关于鼓励社会力量参与（第二十一条）</w:t>
      </w:r>
    </w:p>
    <w:p w:rsidR="00D61BA5" w:rsidRPr="00D61BA5" w:rsidRDefault="00D61BA5" w:rsidP="00D61BA5">
      <w:pPr>
        <w:pStyle w:val="p19"/>
        <w:widowControl w:val="0"/>
        <w:spacing w:line="580" w:lineRule="exact"/>
        <w:ind w:firstLineChars="200" w:firstLine="640"/>
        <w:textAlignment w:val="baseline"/>
        <w:rPr>
          <w:rFonts w:ascii="仿宋_GB2312" w:eastAsia="仿宋_GB2312" w:cs="仿宋_GB2312" w:hint="eastAsia"/>
          <w:kern w:val="2"/>
          <w:sz w:val="32"/>
          <w:szCs w:val="32"/>
        </w:rPr>
      </w:pPr>
      <w:r w:rsidRPr="00D61BA5">
        <w:rPr>
          <w:rFonts w:ascii="仿宋_GB2312" w:eastAsia="仿宋_GB2312" w:cs="仿宋_GB2312" w:hint="eastAsia"/>
          <w:kern w:val="2"/>
          <w:sz w:val="32"/>
          <w:szCs w:val="32"/>
        </w:rPr>
        <w:t>为汇聚全社会的力量来共同参与做好莆仙戏的保护传承工作，《条例》（征求意见稿）在第二十一条规定鼓励支持公民、法人和其他组织依法设立莆仙戏营业性演出团体，成立莆仙戏社会组织等，建设莆仙戏展示、传习场所，从事莆仙戏保护传承。鼓励支持公民、法人和其他组织通过捐赠、捐助等方式参与莆仙戏保护传承。</w:t>
      </w:r>
    </w:p>
    <w:p w:rsidR="00D61BA5" w:rsidRPr="00D61BA5" w:rsidRDefault="00D61BA5" w:rsidP="00D61BA5">
      <w:pPr>
        <w:pStyle w:val="p19"/>
        <w:widowControl w:val="0"/>
        <w:spacing w:line="580" w:lineRule="exact"/>
        <w:ind w:firstLineChars="200" w:firstLine="640"/>
        <w:textAlignment w:val="baseline"/>
        <w:rPr>
          <w:rFonts w:ascii="仿宋_GB2312" w:eastAsia="仿宋_GB2312" w:cs="仿宋_GB2312"/>
          <w:kern w:val="2"/>
          <w:sz w:val="32"/>
          <w:szCs w:val="32"/>
        </w:rPr>
      </w:pPr>
    </w:p>
    <w:p w:rsidR="00D61BA5" w:rsidRDefault="00D61BA5" w:rsidP="00D61BA5">
      <w:pPr>
        <w:pStyle w:val="p19"/>
        <w:widowControl w:val="0"/>
        <w:spacing w:line="580" w:lineRule="exact"/>
        <w:ind w:firstLineChars="200" w:firstLine="640"/>
        <w:textAlignment w:val="baseline"/>
        <w:rPr>
          <w:rFonts w:ascii="仿宋_GB2312" w:eastAsia="仿宋_GB2312" w:hAnsi="仿宋_GB2312" w:cs="仿宋_GB2312"/>
          <w:sz w:val="32"/>
          <w:szCs w:val="32"/>
        </w:rPr>
      </w:pPr>
    </w:p>
    <w:p w:rsidR="00D61BA5" w:rsidRDefault="00D61BA5" w:rsidP="00D61BA5">
      <w:pPr>
        <w:pStyle w:val="p19"/>
        <w:widowControl w:val="0"/>
        <w:spacing w:line="580" w:lineRule="exact"/>
        <w:ind w:firstLineChars="200" w:firstLine="640"/>
        <w:textAlignment w:val="baseline"/>
        <w:rPr>
          <w:rFonts w:ascii="仿宋_GB2312" w:eastAsia="仿宋_GB2312" w:hAnsi="仿宋_GB2312" w:cs="仿宋_GB2312"/>
          <w:sz w:val="32"/>
          <w:szCs w:val="32"/>
        </w:rPr>
      </w:pPr>
    </w:p>
    <w:p w:rsidR="00D61BA5" w:rsidRDefault="00D61BA5" w:rsidP="00D61BA5">
      <w:pPr>
        <w:pStyle w:val="p19"/>
        <w:widowControl w:val="0"/>
        <w:spacing w:line="580" w:lineRule="exact"/>
        <w:ind w:firstLineChars="200" w:firstLine="640"/>
        <w:textAlignment w:val="baseline"/>
        <w:rPr>
          <w:rFonts w:ascii="仿宋_GB2312" w:eastAsia="仿宋_GB2312" w:hAnsi="仿宋_GB2312" w:cs="仿宋_GB2312"/>
          <w:sz w:val="32"/>
          <w:szCs w:val="32"/>
        </w:rPr>
      </w:pPr>
    </w:p>
    <w:p w:rsidR="00D61BA5" w:rsidRDefault="00D61BA5" w:rsidP="00D61BA5">
      <w:pPr>
        <w:pStyle w:val="p19"/>
        <w:widowControl w:val="0"/>
        <w:spacing w:line="580" w:lineRule="exact"/>
        <w:ind w:firstLineChars="200" w:firstLine="640"/>
        <w:textAlignment w:val="baseline"/>
        <w:rPr>
          <w:rFonts w:ascii="仿宋_GB2312" w:eastAsia="仿宋_GB2312" w:hAnsi="仿宋_GB2312" w:cs="仿宋_GB2312"/>
          <w:sz w:val="32"/>
          <w:szCs w:val="32"/>
        </w:rPr>
      </w:pPr>
    </w:p>
    <w:p w:rsidR="00F77F4C" w:rsidRPr="00D61BA5" w:rsidRDefault="00F77F4C" w:rsidP="00D61BA5">
      <w:pPr>
        <w:rPr>
          <w:szCs w:val="28"/>
        </w:rPr>
      </w:pPr>
    </w:p>
    <w:sectPr w:rsidR="00F77F4C" w:rsidRPr="00D61BA5" w:rsidSect="00F77F4C">
      <w:footerReference w:type="default" r:id="rId8"/>
      <w:pgSz w:w="11906" w:h="16838"/>
      <w:pgMar w:top="1440" w:right="1803" w:bottom="1440" w:left="1803" w:header="851" w:footer="992" w:gutter="0"/>
      <w:pgNumType w:fmt="numberInDash"/>
      <w:cols w:space="0"/>
      <w:docGrid w:type="lines" w:linePitch="43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597" w:rsidRDefault="00F93597" w:rsidP="00F77F4C">
      <w:r>
        <w:separator/>
      </w:r>
    </w:p>
  </w:endnote>
  <w:endnote w:type="continuationSeparator" w:id="0">
    <w:p w:rsidR="00F93597" w:rsidRDefault="00F93597" w:rsidP="00F77F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微软雅黑"/>
    <w:charset w:val="86"/>
    <w:family w:val="script"/>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F4C" w:rsidRDefault="00704D55">
    <w:pPr>
      <w:pStyle w:val="a3"/>
    </w:pPr>
    <w:r>
      <w:pict>
        <v:shapetype id="_x0000_t202" coordsize="21600,21600" o:spt="202" path="m,l,21600r21600,l21600,xe">
          <v:stroke joinstyle="miter"/>
          <v:path gradientshapeok="t" o:connecttype="rect"/>
        </v:shapetype>
        <v:shape id="_x0000_s2049"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F77F4C" w:rsidRDefault="00704D55">
                <w:pPr>
                  <w:pStyle w:val="a3"/>
                </w:pPr>
                <w:r>
                  <w:rPr>
                    <w:rFonts w:asciiTheme="minorEastAsia" w:eastAsiaTheme="minorEastAsia" w:hAnsiTheme="minorEastAsia" w:cstheme="minorEastAsia" w:hint="eastAsia"/>
                    <w:sz w:val="28"/>
                    <w:szCs w:val="28"/>
                  </w:rPr>
                  <w:fldChar w:fldCharType="begin"/>
                </w:r>
                <w:r w:rsidR="00085CED">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201366">
                  <w:rPr>
                    <w:rFonts w:asciiTheme="minorEastAsia" w:eastAsiaTheme="minorEastAsia" w:hAnsiTheme="minorEastAsia" w:cstheme="minorEastAsia"/>
                    <w:noProof/>
                    <w:sz w:val="28"/>
                    <w:szCs w:val="28"/>
                  </w:rPr>
                  <w:t>- 6 -</w:t>
                </w:r>
                <w:r>
                  <w:rPr>
                    <w:rFonts w:asciiTheme="minorEastAsia" w:eastAsia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597" w:rsidRDefault="00F93597" w:rsidP="00F77F4C">
      <w:r>
        <w:separator/>
      </w:r>
    </w:p>
  </w:footnote>
  <w:footnote w:type="continuationSeparator" w:id="0">
    <w:p w:rsidR="00F93597" w:rsidRDefault="00F93597" w:rsidP="00F77F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7368A"/>
    <w:multiLevelType w:val="singleLevel"/>
    <w:tmpl w:val="0CA7368A"/>
    <w:lvl w:ilvl="0">
      <w:start w:val="2"/>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218"/>
  <w:displayVerticalDrawingGridEvery w:val="2"/>
  <w:noPunctuationKerning/>
  <w:characterSpacingControl w:val="compressPunctuation"/>
  <w:hdrShapeDefaults>
    <o:shapedefaults v:ext="edit" spidmax="512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D97F15"/>
    <w:rsid w:val="00085CED"/>
    <w:rsid w:val="00201366"/>
    <w:rsid w:val="00704D55"/>
    <w:rsid w:val="00BC5EC2"/>
    <w:rsid w:val="00D61BA5"/>
    <w:rsid w:val="00D97F15"/>
    <w:rsid w:val="00DF5CFC"/>
    <w:rsid w:val="00F77F4C"/>
    <w:rsid w:val="00F93597"/>
    <w:rsid w:val="0636695D"/>
    <w:rsid w:val="091004E7"/>
    <w:rsid w:val="1017493D"/>
    <w:rsid w:val="101A1B12"/>
    <w:rsid w:val="1242335E"/>
    <w:rsid w:val="1EBE2745"/>
    <w:rsid w:val="29F319B0"/>
    <w:rsid w:val="32E57DA4"/>
    <w:rsid w:val="38C51195"/>
    <w:rsid w:val="42C058EC"/>
    <w:rsid w:val="46787DAE"/>
    <w:rsid w:val="46E41755"/>
    <w:rsid w:val="48A131DB"/>
    <w:rsid w:val="547B72C6"/>
    <w:rsid w:val="580544D9"/>
    <w:rsid w:val="5E5914AC"/>
    <w:rsid w:val="5FB022CF"/>
    <w:rsid w:val="640C0874"/>
    <w:rsid w:val="68830826"/>
    <w:rsid w:val="696A1391"/>
    <w:rsid w:val="6B2A48BB"/>
    <w:rsid w:val="76351522"/>
    <w:rsid w:val="76E65972"/>
    <w:rsid w:val="7C2A27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7F4C"/>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77F4C"/>
    <w:pPr>
      <w:tabs>
        <w:tab w:val="center" w:pos="4153"/>
        <w:tab w:val="right" w:pos="8306"/>
      </w:tabs>
      <w:snapToGrid w:val="0"/>
      <w:jc w:val="left"/>
    </w:pPr>
    <w:rPr>
      <w:sz w:val="18"/>
    </w:rPr>
  </w:style>
  <w:style w:type="paragraph" w:styleId="a4">
    <w:name w:val="header"/>
    <w:basedOn w:val="a"/>
    <w:rsid w:val="00F77F4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31">
    <w:name w:val="font31"/>
    <w:basedOn w:val="a0"/>
    <w:qFormat/>
    <w:rsid w:val="00F77F4C"/>
    <w:rPr>
      <w:rFonts w:ascii="仿宋_GB2312" w:eastAsia="仿宋_GB2312" w:cs="仿宋_GB2312" w:hint="eastAsia"/>
      <w:color w:val="000000"/>
      <w:sz w:val="24"/>
      <w:szCs w:val="24"/>
      <w:u w:val="none"/>
    </w:rPr>
  </w:style>
  <w:style w:type="character" w:customStyle="1" w:styleId="font21">
    <w:name w:val="font21"/>
    <w:basedOn w:val="a0"/>
    <w:qFormat/>
    <w:rsid w:val="00F77F4C"/>
    <w:rPr>
      <w:rFonts w:ascii="仿宋_GB2312" w:eastAsia="仿宋_GB2312" w:cs="仿宋_GB2312" w:hint="eastAsia"/>
      <w:color w:val="000000"/>
      <w:sz w:val="32"/>
      <w:szCs w:val="32"/>
      <w:u w:val="none"/>
    </w:rPr>
  </w:style>
  <w:style w:type="character" w:customStyle="1" w:styleId="font61">
    <w:name w:val="font61"/>
    <w:basedOn w:val="a0"/>
    <w:qFormat/>
    <w:rsid w:val="00F77F4C"/>
    <w:rPr>
      <w:rFonts w:ascii="仿宋_GB2312" w:eastAsia="仿宋_GB2312" w:cs="仿宋_GB2312" w:hint="eastAsia"/>
      <w:color w:val="000000"/>
      <w:sz w:val="28"/>
      <w:szCs w:val="28"/>
      <w:u w:val="none"/>
    </w:rPr>
  </w:style>
  <w:style w:type="character" w:customStyle="1" w:styleId="font01">
    <w:name w:val="font01"/>
    <w:basedOn w:val="a0"/>
    <w:qFormat/>
    <w:rsid w:val="00F77F4C"/>
    <w:rPr>
      <w:rFonts w:ascii="宋体" w:eastAsia="宋体" w:hAnsi="宋体" w:cs="宋体" w:hint="eastAsia"/>
      <w:color w:val="000000"/>
      <w:sz w:val="28"/>
      <w:szCs w:val="28"/>
      <w:u w:val="none"/>
    </w:rPr>
  </w:style>
  <w:style w:type="character" w:customStyle="1" w:styleId="font11">
    <w:name w:val="font11"/>
    <w:basedOn w:val="a0"/>
    <w:rsid w:val="00F77F4C"/>
    <w:rPr>
      <w:rFonts w:ascii="仿宋_GB2312" w:eastAsia="仿宋_GB2312" w:cs="仿宋_GB2312" w:hint="eastAsia"/>
      <w:color w:val="000000"/>
      <w:sz w:val="28"/>
      <w:szCs w:val="28"/>
      <w:u w:val="none"/>
    </w:rPr>
  </w:style>
  <w:style w:type="character" w:customStyle="1" w:styleId="font81">
    <w:name w:val="font81"/>
    <w:basedOn w:val="a0"/>
    <w:rsid w:val="00F77F4C"/>
    <w:rPr>
      <w:rFonts w:ascii="宋体" w:eastAsia="宋体" w:hAnsi="宋体" w:cs="宋体" w:hint="eastAsia"/>
      <w:color w:val="000000"/>
      <w:sz w:val="28"/>
      <w:szCs w:val="28"/>
      <w:u w:val="none"/>
    </w:rPr>
  </w:style>
  <w:style w:type="character" w:customStyle="1" w:styleId="font71">
    <w:name w:val="font71"/>
    <w:basedOn w:val="a0"/>
    <w:qFormat/>
    <w:rsid w:val="00F77F4C"/>
    <w:rPr>
      <w:rFonts w:ascii="仿宋_GB2312" w:eastAsia="仿宋_GB2312" w:cs="仿宋_GB2312" w:hint="eastAsia"/>
      <w:color w:val="000000"/>
      <w:sz w:val="32"/>
      <w:szCs w:val="32"/>
      <w:u w:val="none"/>
    </w:rPr>
  </w:style>
  <w:style w:type="character" w:customStyle="1" w:styleId="font51">
    <w:name w:val="font51"/>
    <w:basedOn w:val="a0"/>
    <w:qFormat/>
    <w:rsid w:val="00F77F4C"/>
    <w:rPr>
      <w:rFonts w:ascii="仿宋_GB2312" w:eastAsia="仿宋_GB2312" w:cs="仿宋_GB2312" w:hint="eastAsia"/>
      <w:color w:val="000000"/>
      <w:sz w:val="22"/>
      <w:szCs w:val="22"/>
      <w:u w:val="none"/>
    </w:rPr>
  </w:style>
  <w:style w:type="paragraph" w:styleId="a5">
    <w:name w:val="Normal (Web)"/>
    <w:basedOn w:val="a"/>
    <w:qFormat/>
    <w:rsid w:val="00DF5CFC"/>
    <w:pPr>
      <w:spacing w:before="100" w:beforeAutospacing="1" w:after="100" w:afterAutospacing="1"/>
      <w:jc w:val="left"/>
    </w:pPr>
    <w:rPr>
      <w:rFonts w:ascii="Calibri" w:eastAsia="宋体" w:hAnsi="Calibri"/>
      <w:kern w:val="0"/>
      <w:sz w:val="24"/>
      <w:szCs w:val="24"/>
    </w:rPr>
  </w:style>
  <w:style w:type="character" w:customStyle="1" w:styleId="NormalCharacter">
    <w:name w:val="NormalCharacter"/>
    <w:qFormat/>
    <w:rsid w:val="00D61BA5"/>
  </w:style>
  <w:style w:type="paragraph" w:customStyle="1" w:styleId="p19">
    <w:name w:val="p19"/>
    <w:basedOn w:val="a"/>
    <w:qFormat/>
    <w:rsid w:val="00D61BA5"/>
    <w:pPr>
      <w:widowControl/>
    </w:pPr>
    <w:rPr>
      <w:rFonts w:eastAsia="方正仿宋简体"/>
      <w:kern w:val="0"/>
      <w:sz w:val="30"/>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2022-03-31T09:00:00Z</cp:lastPrinted>
  <dcterms:created xsi:type="dcterms:W3CDTF">2022-03-31T08:58:00Z</dcterms:created>
  <dcterms:modified xsi:type="dcterms:W3CDTF">2022-03-31T09:00:00Z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14E30B1F3A314E85A451125F7C198BF6</vt:lpwstr>
  </property>
</Properties>
</file>