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3"/>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pPr>
      <w:bookmarkStart w:id="0" w:name="MainBody"/>
    </w:p>
    <w:p>
      <w:pPr>
        <w:spacing w:line="600" w:lineRule="exact"/>
        <w:jc w:val="center"/>
        <w:rPr>
          <w:rStyle w:val="13"/>
          <w:rFonts w:hint="eastAsia" w:ascii="方正小标宋简体" w:hAnsi="方正小标宋简体" w:eastAsia="方正小标宋简体" w:cs="方正小标宋简体"/>
          <w:b w:val="0"/>
          <w:bCs w:val="0"/>
          <w:i w:val="0"/>
          <w:iCs w:val="0"/>
          <w:caps w:val="0"/>
          <w:color w:val="000000"/>
          <w:spacing w:val="0"/>
          <w:kern w:val="0"/>
          <w:sz w:val="40"/>
          <w:szCs w:val="40"/>
          <w:shd w:val="clear" w:color="auto" w:fill="FFFFFF"/>
          <w:lang w:val="en-US" w:eastAsia="zh-CN" w:bidi="ar"/>
        </w:rPr>
      </w:pPr>
    </w:p>
    <w:p>
      <w:pPr>
        <w:spacing w:line="600" w:lineRule="exact"/>
        <w:jc w:val="center"/>
        <w:rPr>
          <w:rStyle w:val="13"/>
          <w:rFonts w:hint="eastAsia" w:ascii="方正小标宋简体" w:hAnsi="方正小标宋简体" w:eastAsia="方正小标宋简体" w:cs="方正小标宋简体"/>
          <w:b w:val="0"/>
          <w:bCs w:val="0"/>
          <w:i w:val="0"/>
          <w:iCs w:val="0"/>
          <w:caps w:val="0"/>
          <w:color w:val="000000"/>
          <w:spacing w:val="0"/>
          <w:kern w:val="0"/>
          <w:sz w:val="40"/>
          <w:szCs w:val="40"/>
          <w:shd w:val="clear" w:color="auto" w:fill="FFFFFF"/>
          <w:lang w:val="en-US" w:eastAsia="zh-CN" w:bidi="ar"/>
        </w:rPr>
      </w:pPr>
      <w:r>
        <w:rPr>
          <w:rStyle w:val="13"/>
          <w:rFonts w:hint="eastAsia" w:ascii="方正小标宋简体" w:hAnsi="方正小标宋简体" w:eastAsia="方正小标宋简体" w:cs="方正小标宋简体"/>
          <w:b w:val="0"/>
          <w:bCs w:val="0"/>
          <w:i w:val="0"/>
          <w:iCs w:val="0"/>
          <w:caps w:val="0"/>
          <w:color w:val="000000"/>
          <w:spacing w:val="0"/>
          <w:kern w:val="0"/>
          <w:sz w:val="40"/>
          <w:szCs w:val="40"/>
          <w:shd w:val="clear" w:color="auto" w:fill="FFFFFF"/>
          <w:lang w:val="en-US" w:eastAsia="zh-CN" w:bidi="ar"/>
        </w:rPr>
        <w:t>关于全面推进“山水诗画  生态韵城”建设</w:t>
      </w:r>
    </w:p>
    <w:p>
      <w:pPr>
        <w:spacing w:line="600" w:lineRule="exact"/>
        <w:jc w:val="center"/>
        <w:rPr>
          <w:rStyle w:val="13"/>
          <w:rFonts w:hint="eastAsia" w:ascii="方正小标宋简体" w:hAnsi="方正小标宋简体" w:eastAsia="方正小标宋简体" w:cs="方正小标宋简体"/>
          <w:b w:val="0"/>
          <w:bCs w:val="0"/>
          <w:i w:val="0"/>
          <w:iCs w:val="0"/>
          <w:caps w:val="0"/>
          <w:color w:val="000000"/>
          <w:spacing w:val="0"/>
          <w:kern w:val="0"/>
          <w:sz w:val="40"/>
          <w:szCs w:val="40"/>
          <w:shd w:val="clear" w:color="auto" w:fill="FFFFFF"/>
          <w:lang w:val="en-US" w:eastAsia="zh-CN" w:bidi="ar"/>
        </w:rPr>
      </w:pPr>
      <w:r>
        <w:rPr>
          <w:rStyle w:val="13"/>
          <w:rFonts w:hint="eastAsia" w:ascii="方正小标宋简体" w:hAnsi="方正小标宋简体" w:eastAsia="方正小标宋简体" w:cs="方正小标宋简体"/>
          <w:b w:val="0"/>
          <w:bCs w:val="0"/>
          <w:i w:val="0"/>
          <w:iCs w:val="0"/>
          <w:caps w:val="0"/>
          <w:color w:val="000000"/>
          <w:spacing w:val="0"/>
          <w:kern w:val="0"/>
          <w:sz w:val="40"/>
          <w:szCs w:val="40"/>
          <w:shd w:val="clear" w:color="auto" w:fill="FFFFFF"/>
          <w:lang w:val="en-US" w:eastAsia="zh-CN" w:bidi="ar"/>
        </w:rPr>
        <w:t>为“美丽中国”提供莆田实践</w:t>
      </w:r>
    </w:p>
    <w:p>
      <w:pPr>
        <w:spacing w:line="600" w:lineRule="exact"/>
        <w:jc w:val="center"/>
        <w:rPr>
          <w:rStyle w:val="13"/>
          <w:rFonts w:hint="eastAsia" w:ascii="方正小标宋简体" w:hAnsi="方正小标宋简体" w:eastAsia="方正小标宋简体" w:cs="方正小标宋简体"/>
          <w:b w:val="0"/>
          <w:bCs w:val="0"/>
          <w:i w:val="0"/>
          <w:iCs w:val="0"/>
          <w:caps w:val="0"/>
          <w:color w:val="000000"/>
          <w:spacing w:val="0"/>
          <w:kern w:val="0"/>
          <w:sz w:val="40"/>
          <w:szCs w:val="40"/>
          <w:shd w:val="clear" w:color="auto" w:fill="FFFFFF"/>
          <w:lang w:val="en-US" w:eastAsia="zh-CN" w:bidi="ar"/>
        </w:rPr>
      </w:pPr>
      <w:r>
        <w:rPr>
          <w:rStyle w:val="13"/>
          <w:rFonts w:hint="eastAsia" w:ascii="方正小标宋简体" w:hAnsi="方正小标宋简体" w:eastAsia="方正小标宋简体" w:cs="方正小标宋简体"/>
          <w:b w:val="0"/>
          <w:bCs w:val="0"/>
          <w:i w:val="0"/>
          <w:iCs w:val="0"/>
          <w:caps w:val="0"/>
          <w:color w:val="000000"/>
          <w:spacing w:val="0"/>
          <w:kern w:val="0"/>
          <w:sz w:val="40"/>
          <w:szCs w:val="40"/>
          <w:shd w:val="clear" w:color="auto" w:fill="FFFFFF"/>
          <w:lang w:val="en-US" w:eastAsia="zh-CN" w:bidi="ar"/>
        </w:rPr>
        <w:t>样本的实施方案</w:t>
      </w:r>
    </w:p>
    <w:p>
      <w:pPr>
        <w:pStyle w:val="2"/>
        <w:ind w:left="0" w:leftChars="0" w:firstLine="0" w:firstLineChars="0"/>
        <w:jc w:val="center"/>
        <w:rPr>
          <w:rFonts w:hint="eastAsia" w:ascii="黑体" w:hAnsi="黑体" w:eastAsia="黑体" w:cs="黑体"/>
          <w:b w:val="0"/>
          <w:bCs w:val="0"/>
          <w:color w:val="000000"/>
          <w:sz w:val="36"/>
          <w:szCs w:val="36"/>
          <w:lang w:val="en-US" w:eastAsia="zh-CN"/>
        </w:rPr>
      </w:pPr>
    </w:p>
    <w:p>
      <w:pPr>
        <w:jc w:val="both"/>
        <w:rPr>
          <w:rStyle w:val="13"/>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pPr>
    </w:p>
    <w:p>
      <w:pPr>
        <w:jc w:val="center"/>
        <w:rPr>
          <w:rStyle w:val="13"/>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pPr>
    </w:p>
    <w:p>
      <w:pPr>
        <w:jc w:val="center"/>
        <w:rPr>
          <w:rStyle w:val="13"/>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pPr>
    </w:p>
    <w:p>
      <w:pPr>
        <w:jc w:val="center"/>
        <w:rPr>
          <w:rStyle w:val="13"/>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pPr>
    </w:p>
    <w:p>
      <w:pPr>
        <w:jc w:val="center"/>
        <w:rPr>
          <w:rStyle w:val="13"/>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pPr>
    </w:p>
    <w:p>
      <w:pPr>
        <w:jc w:val="both"/>
        <w:rPr>
          <w:rStyle w:val="13"/>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pPr>
    </w:p>
    <w:p>
      <w:pPr>
        <w:jc w:val="center"/>
        <w:rPr>
          <w:rStyle w:val="13"/>
          <w:rFonts w:hint="eastAsia" w:ascii="方正小标宋简体" w:hAnsi="方正小标宋简体" w:eastAsia="方正小标宋简体" w:cs="方正小标宋简体"/>
          <w:i w:val="0"/>
          <w:iCs w:val="0"/>
          <w:caps w:val="0"/>
          <w:color w:val="000000"/>
          <w:spacing w:val="0"/>
          <w:kern w:val="0"/>
          <w:sz w:val="44"/>
          <w:szCs w:val="44"/>
          <w:shd w:val="clear" w:color="auto" w:fill="FFFFFF"/>
          <w:lang w:val="en-US" w:eastAsia="zh-CN" w:bidi="ar"/>
        </w:rPr>
      </w:pPr>
    </w:p>
    <w:p>
      <w:pPr>
        <w:jc w:val="both"/>
        <w:rPr>
          <w:rStyle w:val="13"/>
          <w:rFonts w:hint="eastAsia" w:ascii="方正小标宋简体" w:hAnsi="方正小标宋简体" w:eastAsia="方正小标宋简体" w:cs="方正小标宋简体"/>
          <w:b w:val="0"/>
          <w:bCs/>
          <w:i w:val="0"/>
          <w:iCs w:val="0"/>
          <w:caps w:val="0"/>
          <w:color w:val="000000"/>
          <w:spacing w:val="0"/>
          <w:kern w:val="0"/>
          <w:sz w:val="32"/>
          <w:szCs w:val="32"/>
          <w:shd w:val="clear" w:color="auto" w:fill="FFFFFF"/>
          <w:lang w:val="en-US" w:eastAsia="zh-CN" w:bidi="ar"/>
        </w:rPr>
      </w:pPr>
    </w:p>
    <w:p>
      <w:pPr>
        <w:spacing w:before="0" w:beforeLines="0" w:after="0" w:afterLines="0" w:line="240" w:lineRule="auto"/>
        <w:ind w:left="0" w:leftChars="0" w:right="0" w:rightChars="0" w:firstLine="0" w:firstLineChars="0"/>
        <w:jc w:val="center"/>
        <w:rPr>
          <w:rFonts w:hint="eastAsia" w:ascii="黑体" w:hAnsi="黑体" w:eastAsia="黑体" w:cs="黑体"/>
          <w:color w:val="000000"/>
          <w:kern w:val="2"/>
          <w:sz w:val="32"/>
          <w:szCs w:val="40"/>
          <w:lang w:val="en-US" w:eastAsia="zh-CN" w:bidi="ar-SA"/>
        </w:rPr>
      </w:pPr>
    </w:p>
    <w:p>
      <w:pPr>
        <w:spacing w:before="0" w:beforeLines="0" w:after="0" w:afterLines="0" w:line="240" w:lineRule="auto"/>
        <w:ind w:left="0" w:leftChars="0" w:right="0" w:rightChars="0" w:firstLine="0" w:firstLineChars="0"/>
        <w:jc w:val="center"/>
        <w:rPr>
          <w:rFonts w:hint="eastAsia" w:ascii="黑体" w:hAnsi="黑体" w:eastAsia="黑体" w:cs="黑体"/>
          <w:color w:val="000000"/>
          <w:kern w:val="2"/>
          <w:sz w:val="32"/>
          <w:szCs w:val="40"/>
          <w:lang w:val="en-US" w:eastAsia="zh-CN" w:bidi="ar-SA"/>
        </w:rPr>
        <w:sectPr>
          <w:headerReference r:id="rId3" w:type="default"/>
          <w:footerReference r:id="rId4" w:type="default"/>
          <w:pgSz w:w="11906" w:h="16838"/>
          <w:pgMar w:top="1928" w:right="1587" w:bottom="1928" w:left="1587" w:header="851" w:footer="1417" w:gutter="0"/>
          <w:pgNumType w:fmt="numberInDash"/>
          <w:cols w:space="720" w:num="1"/>
          <w:rtlGutter w:val="0"/>
          <w:docGrid w:type="lines" w:linePitch="457" w:charSpace="0"/>
        </w:sectPr>
      </w:pPr>
    </w:p>
    <w:p>
      <w:pPr>
        <w:spacing w:before="0" w:beforeLines="0" w:after="0" w:afterLines="0" w:line="240" w:lineRule="auto"/>
        <w:ind w:left="0" w:leftChars="0" w:right="0" w:rightChars="0" w:firstLine="0" w:firstLineChars="0"/>
        <w:jc w:val="center"/>
        <w:rPr>
          <w:rFonts w:hint="eastAsia" w:ascii="黑体" w:hAnsi="黑体" w:eastAsia="黑体" w:cs="黑体"/>
          <w:color w:val="000000"/>
          <w:sz w:val="40"/>
          <w:szCs w:val="40"/>
        </w:rPr>
      </w:pPr>
      <w:r>
        <w:rPr>
          <w:rFonts w:hint="eastAsia" w:ascii="黑体" w:hAnsi="黑体" w:eastAsia="黑体" w:cs="黑体"/>
          <w:color w:val="000000"/>
          <w:sz w:val="40"/>
          <w:szCs w:val="40"/>
        </w:rPr>
        <w:t>目</w:t>
      </w:r>
      <w:r>
        <w:rPr>
          <w:rFonts w:hint="eastAsia" w:ascii="黑体" w:hAnsi="黑体" w:eastAsia="黑体" w:cs="黑体"/>
          <w:color w:val="000000"/>
          <w:sz w:val="40"/>
          <w:szCs w:val="40"/>
          <w:lang w:val="en-US" w:eastAsia="zh-CN"/>
        </w:rPr>
        <w:t xml:space="preserve">  </w:t>
      </w:r>
      <w:r>
        <w:rPr>
          <w:rFonts w:hint="eastAsia" w:ascii="黑体" w:hAnsi="黑体" w:eastAsia="黑体" w:cs="黑体"/>
          <w:color w:val="000000"/>
          <w:sz w:val="40"/>
          <w:szCs w:val="40"/>
        </w:rPr>
        <w:t>录</w:t>
      </w:r>
    </w:p>
    <w:p>
      <w:pPr>
        <w:pStyle w:val="7"/>
        <w:shd w:val="clear"/>
        <w:tabs>
          <w:tab w:val="right" w:leader="dot" w:pos="8306"/>
        </w:tabs>
        <w:spacing w:line="460" w:lineRule="exact"/>
        <w:rPr>
          <w:color w:val="000000"/>
          <w:sz w:val="28"/>
          <w:szCs w:val="36"/>
        </w:rPr>
      </w:pPr>
      <w:r>
        <w:rPr>
          <w:rFonts w:hint="eastAsia" w:ascii="仿宋" w:hAnsi="仿宋" w:eastAsia="仿宋" w:cs="仿宋"/>
          <w:color w:val="000000"/>
          <w:sz w:val="144"/>
          <w:szCs w:val="144"/>
          <w:lang w:val="en-US" w:eastAsia="zh-CN"/>
        </w:rPr>
        <w:fldChar w:fldCharType="begin"/>
      </w:r>
      <w:r>
        <w:rPr>
          <w:rFonts w:hint="eastAsia" w:ascii="仿宋" w:hAnsi="仿宋" w:eastAsia="仿宋" w:cs="仿宋"/>
          <w:color w:val="000000"/>
          <w:sz w:val="144"/>
          <w:szCs w:val="144"/>
          <w:lang w:val="en-US" w:eastAsia="zh-CN"/>
        </w:rPr>
        <w:instrText xml:space="preserve">TOC \o "1-3" \h \u </w:instrText>
      </w:r>
      <w:r>
        <w:rPr>
          <w:rFonts w:hint="eastAsia" w:ascii="仿宋" w:hAnsi="仿宋" w:eastAsia="仿宋" w:cs="仿宋"/>
          <w:color w:val="000000"/>
          <w:sz w:val="144"/>
          <w:szCs w:val="144"/>
          <w:lang w:val="en-US" w:eastAsia="zh-CN"/>
        </w:rPr>
        <w:fldChar w:fldCharType="separate"/>
      </w:r>
      <w:r>
        <w:rPr>
          <w:rFonts w:hint="eastAsia" w:ascii="仿宋" w:hAnsi="仿宋" w:eastAsia="仿宋" w:cs="仿宋"/>
          <w:color w:val="000000"/>
          <w:sz w:val="28"/>
          <w:szCs w:val="144"/>
          <w:lang w:val="en-US" w:eastAsia="zh-CN"/>
        </w:rPr>
        <w:fldChar w:fldCharType="begin"/>
      </w:r>
      <w:r>
        <w:rPr>
          <w:rFonts w:hint="eastAsia" w:ascii="仿宋" w:hAnsi="仿宋" w:eastAsia="仿宋" w:cs="仿宋"/>
          <w:color w:val="000000"/>
          <w:sz w:val="28"/>
          <w:szCs w:val="144"/>
          <w:lang w:val="en-US" w:eastAsia="zh-CN"/>
        </w:rPr>
        <w:instrText xml:space="preserve"> HYPERLINK \l _Toc22929 </w:instrText>
      </w:r>
      <w:r>
        <w:rPr>
          <w:rFonts w:hint="eastAsia" w:ascii="仿宋" w:hAnsi="仿宋" w:eastAsia="仿宋" w:cs="仿宋"/>
          <w:color w:val="000000"/>
          <w:sz w:val="28"/>
          <w:szCs w:val="144"/>
          <w:lang w:val="en-US" w:eastAsia="zh-CN"/>
        </w:rPr>
        <w:fldChar w:fldCharType="separate"/>
      </w:r>
      <w:r>
        <w:rPr>
          <w:rFonts w:hint="eastAsia" w:ascii="黑体" w:hAnsi="黑体" w:eastAsia="黑体" w:cs="黑体"/>
          <w:bCs/>
          <w:i w:val="0"/>
          <w:iCs w:val="0"/>
          <w:caps w:val="0"/>
          <w:color w:val="000000"/>
          <w:spacing w:val="0"/>
          <w:kern w:val="0"/>
          <w:sz w:val="28"/>
          <w:szCs w:val="44"/>
          <w:shd w:val="clear" w:color="auto" w:fill="FFFFFF"/>
          <w:lang w:val="en-US" w:eastAsia="zh-CN" w:bidi="ar"/>
        </w:rPr>
        <w:t>一、总体要求</w:t>
      </w:r>
      <w:r>
        <w:rPr>
          <w:rFonts w:ascii="等线" w:hAnsi="Times New Roman" w:eastAsia="等线" w:cs="Times New Roman"/>
          <w:snapToGrid/>
          <w:color w:val="000000"/>
          <w:kern w:val="2"/>
          <w:sz w:val="28"/>
          <w:szCs w:val="36"/>
          <w:lang w:val="en-US" w:eastAsia="zh-CN" w:bidi="ar-SA"/>
        </w:rPr>
        <w:tab/>
      </w:r>
      <w:r>
        <w:rPr>
          <w:rFonts w:hint="eastAsia" w:ascii="仿宋_GB2312" w:hAnsi="仿宋_GB2312" w:eastAsia="仿宋_GB2312" w:cs="仿宋_GB2312"/>
          <w:snapToGrid/>
          <w:color w:val="000000"/>
          <w:kern w:val="2"/>
          <w:sz w:val="28"/>
          <w:szCs w:val="36"/>
          <w:lang w:val="en-US" w:eastAsia="zh-CN" w:bidi="ar-SA"/>
        </w:rPr>
        <w:fldChar w:fldCharType="begin"/>
      </w:r>
      <w:r>
        <w:rPr>
          <w:rFonts w:hint="eastAsia" w:ascii="仿宋_GB2312" w:hAnsi="仿宋_GB2312" w:eastAsia="仿宋_GB2312" w:cs="仿宋_GB2312"/>
          <w:snapToGrid/>
          <w:color w:val="000000"/>
          <w:kern w:val="2"/>
          <w:sz w:val="28"/>
          <w:szCs w:val="36"/>
          <w:lang w:val="en-US" w:eastAsia="zh-CN" w:bidi="ar-SA"/>
        </w:rPr>
        <w:instrText xml:space="preserve"> PAGEREF _Toc22929 \h </w:instrText>
      </w:r>
      <w:r>
        <w:rPr>
          <w:rFonts w:hint="eastAsia" w:ascii="仿宋_GB2312" w:hAnsi="仿宋_GB2312" w:eastAsia="仿宋_GB2312" w:cs="仿宋_GB2312"/>
          <w:snapToGrid/>
          <w:color w:val="000000"/>
          <w:kern w:val="2"/>
          <w:sz w:val="28"/>
          <w:szCs w:val="36"/>
          <w:lang w:val="en-US" w:eastAsia="zh-CN" w:bidi="ar-SA"/>
        </w:rPr>
        <w:fldChar w:fldCharType="separate"/>
      </w:r>
      <w:r>
        <w:rPr>
          <w:rFonts w:hint="eastAsia" w:ascii="仿宋_GB2312" w:hAnsi="仿宋_GB2312" w:eastAsia="仿宋_GB2312" w:cs="仿宋_GB2312"/>
          <w:snapToGrid/>
          <w:color w:val="000000"/>
          <w:kern w:val="2"/>
          <w:sz w:val="28"/>
          <w:szCs w:val="36"/>
          <w:lang w:val="en-US" w:eastAsia="zh-CN" w:bidi="ar-SA"/>
        </w:rPr>
        <w:t>- 4 -</w:t>
      </w:r>
      <w:r>
        <w:rPr>
          <w:rFonts w:hint="eastAsia" w:ascii="仿宋_GB2312" w:hAnsi="仿宋_GB2312" w:eastAsia="仿宋_GB2312" w:cs="仿宋_GB2312"/>
          <w:snapToGrid/>
          <w:color w:val="000000"/>
          <w:kern w:val="2"/>
          <w:sz w:val="28"/>
          <w:szCs w:val="36"/>
          <w:lang w:val="en-US" w:eastAsia="zh-CN" w:bidi="ar-SA"/>
        </w:rPr>
        <w:fldChar w:fldCharType="end"/>
      </w:r>
      <w:r>
        <w:rPr>
          <w:rFonts w:hint="eastAsia" w:ascii="仿宋" w:hAnsi="仿宋" w:eastAsia="仿宋" w:cs="仿宋"/>
          <w:color w:val="000000"/>
          <w:sz w:val="28"/>
          <w:szCs w:val="144"/>
          <w:lang w:val="en-US" w:eastAsia="zh-CN"/>
        </w:rPr>
        <w:fldChar w:fldCharType="end"/>
      </w:r>
    </w:p>
    <w:p>
      <w:pPr>
        <w:pStyle w:val="7"/>
        <w:shd w:val="clear"/>
        <w:tabs>
          <w:tab w:val="right" w:leader="dot" w:pos="8306"/>
        </w:tabs>
        <w:spacing w:line="460" w:lineRule="exact"/>
        <w:rPr>
          <w:color w:val="000000"/>
          <w:sz w:val="28"/>
          <w:szCs w:val="36"/>
        </w:rPr>
      </w:pPr>
      <w:r>
        <w:rPr>
          <w:rFonts w:hint="eastAsia" w:ascii="仿宋" w:hAnsi="仿宋" w:eastAsia="仿宋" w:cs="仿宋"/>
          <w:color w:val="000000"/>
          <w:sz w:val="28"/>
          <w:szCs w:val="144"/>
          <w:lang w:val="en-US" w:eastAsia="zh-CN"/>
        </w:rPr>
        <w:fldChar w:fldCharType="begin"/>
      </w:r>
      <w:r>
        <w:rPr>
          <w:rFonts w:hint="eastAsia" w:ascii="仿宋" w:hAnsi="仿宋" w:eastAsia="仿宋" w:cs="仿宋"/>
          <w:color w:val="000000"/>
          <w:sz w:val="28"/>
          <w:szCs w:val="144"/>
          <w:lang w:val="en-US" w:eastAsia="zh-CN"/>
        </w:rPr>
        <w:instrText xml:space="preserve"> HYPERLINK \l _Toc100 </w:instrText>
      </w:r>
      <w:r>
        <w:rPr>
          <w:rFonts w:hint="eastAsia" w:ascii="仿宋" w:hAnsi="仿宋" w:eastAsia="仿宋" w:cs="仿宋"/>
          <w:color w:val="000000"/>
          <w:sz w:val="28"/>
          <w:szCs w:val="144"/>
          <w:lang w:val="en-US" w:eastAsia="zh-CN"/>
        </w:rPr>
        <w:fldChar w:fldCharType="separate"/>
      </w:r>
      <w:r>
        <w:rPr>
          <w:rFonts w:hint="eastAsia" w:ascii="黑体" w:hAnsi="黑体" w:eastAsia="黑体" w:cs="黑体"/>
          <w:bCs/>
          <w:i w:val="0"/>
          <w:iCs w:val="0"/>
          <w:caps w:val="0"/>
          <w:color w:val="000000"/>
          <w:spacing w:val="0"/>
          <w:kern w:val="0"/>
          <w:sz w:val="28"/>
          <w:szCs w:val="44"/>
          <w:shd w:val="clear" w:color="auto" w:fill="FFFFFF"/>
          <w:lang w:val="en-US" w:eastAsia="zh-CN" w:bidi="ar"/>
        </w:rPr>
        <w:t>二、引领绿色低碳转型发展潮流</w:t>
      </w:r>
      <w:r>
        <w:rPr>
          <w:rFonts w:ascii="等线" w:hAnsi="Times New Roman" w:eastAsia="等线" w:cs="Times New Roman"/>
          <w:snapToGrid/>
          <w:color w:val="000000"/>
          <w:kern w:val="2"/>
          <w:sz w:val="28"/>
          <w:szCs w:val="36"/>
          <w:lang w:val="en-US" w:eastAsia="zh-CN" w:bidi="ar-SA"/>
        </w:rPr>
        <w:tab/>
      </w:r>
      <w:r>
        <w:rPr>
          <w:rFonts w:hint="eastAsia" w:ascii="仿宋_GB2312" w:hAnsi="仿宋_GB2312" w:eastAsia="仿宋_GB2312" w:cs="仿宋_GB2312"/>
          <w:snapToGrid/>
          <w:color w:val="000000"/>
          <w:kern w:val="2"/>
          <w:sz w:val="28"/>
          <w:szCs w:val="36"/>
          <w:lang w:val="en-US" w:eastAsia="zh-CN" w:bidi="ar-SA"/>
        </w:rPr>
        <w:fldChar w:fldCharType="begin"/>
      </w:r>
      <w:r>
        <w:rPr>
          <w:rFonts w:hint="eastAsia" w:ascii="仿宋_GB2312" w:hAnsi="仿宋_GB2312" w:eastAsia="仿宋_GB2312" w:cs="仿宋_GB2312"/>
          <w:snapToGrid/>
          <w:color w:val="000000"/>
          <w:kern w:val="2"/>
          <w:sz w:val="28"/>
          <w:szCs w:val="36"/>
          <w:lang w:val="en-US" w:eastAsia="zh-CN" w:bidi="ar-SA"/>
        </w:rPr>
        <w:instrText xml:space="preserve"> PAGEREF _Toc100 \h </w:instrText>
      </w:r>
      <w:r>
        <w:rPr>
          <w:rFonts w:hint="eastAsia" w:ascii="仿宋_GB2312" w:hAnsi="仿宋_GB2312" w:eastAsia="仿宋_GB2312" w:cs="仿宋_GB2312"/>
          <w:snapToGrid/>
          <w:color w:val="000000"/>
          <w:kern w:val="2"/>
          <w:sz w:val="28"/>
          <w:szCs w:val="36"/>
          <w:lang w:val="en-US" w:eastAsia="zh-CN" w:bidi="ar-SA"/>
        </w:rPr>
        <w:fldChar w:fldCharType="separate"/>
      </w:r>
      <w:r>
        <w:rPr>
          <w:rFonts w:hint="eastAsia" w:ascii="仿宋_GB2312" w:hAnsi="仿宋_GB2312" w:eastAsia="仿宋_GB2312" w:cs="仿宋_GB2312"/>
          <w:snapToGrid/>
          <w:color w:val="000000"/>
          <w:kern w:val="2"/>
          <w:sz w:val="28"/>
          <w:szCs w:val="36"/>
          <w:lang w:val="en-US" w:eastAsia="zh-CN" w:bidi="ar-SA"/>
        </w:rPr>
        <w:t>- 5 -</w:t>
      </w:r>
      <w:r>
        <w:rPr>
          <w:rFonts w:hint="eastAsia" w:ascii="仿宋_GB2312" w:hAnsi="仿宋_GB2312" w:eastAsia="仿宋_GB2312" w:cs="仿宋_GB2312"/>
          <w:snapToGrid/>
          <w:color w:val="000000"/>
          <w:kern w:val="2"/>
          <w:sz w:val="28"/>
          <w:szCs w:val="36"/>
          <w:lang w:val="en-US" w:eastAsia="zh-CN" w:bidi="ar-SA"/>
        </w:rPr>
        <w:fldChar w:fldCharType="end"/>
      </w:r>
      <w:r>
        <w:rPr>
          <w:rFonts w:hint="eastAsia" w:ascii="仿宋" w:hAnsi="仿宋" w:eastAsia="仿宋" w:cs="仿宋"/>
          <w:color w:val="000000"/>
          <w:sz w:val="28"/>
          <w:szCs w:val="144"/>
          <w:lang w:val="en-US" w:eastAsia="zh-CN"/>
        </w:rPr>
        <w:fldChar w:fldCharType="end"/>
      </w:r>
    </w:p>
    <w:p>
      <w:pPr>
        <w:pStyle w:val="8"/>
        <w:shd w:val="clear"/>
        <w:tabs>
          <w:tab w:val="right" w:leader="dot" w:pos="8306"/>
        </w:tabs>
        <w:spacing w:line="460" w:lineRule="exact"/>
        <w:rPr>
          <w:color w:val="000000"/>
          <w:sz w:val="28"/>
          <w:szCs w:val="36"/>
        </w:rPr>
      </w:pPr>
      <w:r>
        <w:rPr>
          <w:rFonts w:hint="eastAsia" w:ascii="仿宋" w:hAnsi="仿宋" w:eastAsia="仿宋" w:cs="仿宋"/>
          <w:color w:val="000000"/>
          <w:sz w:val="28"/>
          <w:szCs w:val="144"/>
          <w:lang w:val="en-US" w:eastAsia="zh-CN"/>
        </w:rPr>
        <w:fldChar w:fldCharType="begin"/>
      </w:r>
      <w:r>
        <w:rPr>
          <w:rFonts w:hint="eastAsia" w:ascii="仿宋" w:hAnsi="仿宋" w:eastAsia="仿宋" w:cs="仿宋"/>
          <w:color w:val="000000"/>
          <w:sz w:val="28"/>
          <w:szCs w:val="144"/>
          <w:lang w:val="en-US" w:eastAsia="zh-CN"/>
        </w:rPr>
        <w:instrText xml:space="preserve"> HYPERLINK \l _Toc17366 </w:instrText>
      </w:r>
      <w:r>
        <w:rPr>
          <w:rFonts w:hint="eastAsia" w:ascii="仿宋" w:hAnsi="仿宋" w:eastAsia="仿宋" w:cs="仿宋"/>
          <w:color w:val="000000"/>
          <w:sz w:val="28"/>
          <w:szCs w:val="144"/>
          <w:lang w:val="en-US" w:eastAsia="zh-CN"/>
        </w:rPr>
        <w:fldChar w:fldCharType="separate"/>
      </w:r>
      <w:r>
        <w:rPr>
          <w:rFonts w:hint="eastAsia" w:ascii="仿宋_GB2312" w:hAnsi="仿宋_GB2312" w:eastAsia="仿宋_GB2312" w:cs="仿宋_GB2312"/>
          <w:bCs/>
          <w:i w:val="0"/>
          <w:iCs w:val="0"/>
          <w:caps w:val="0"/>
          <w:color w:val="000000"/>
          <w:spacing w:val="0"/>
          <w:kern w:val="0"/>
          <w:sz w:val="28"/>
          <w:szCs w:val="44"/>
          <w:shd w:val="clear" w:color="auto" w:fill="FFFFFF"/>
          <w:lang w:val="en-US" w:eastAsia="zh-CN" w:bidi="ar"/>
        </w:rPr>
        <w:t>（一）不断优化陆海共美的国土空间</w:t>
      </w:r>
      <w:r>
        <w:rPr>
          <w:rFonts w:hint="eastAsia" w:ascii="仿宋_GB2312" w:hAnsi="仿宋_GB2312" w:eastAsia="仿宋_GB2312" w:cs="仿宋_GB2312"/>
          <w:color w:val="000000"/>
          <w:sz w:val="28"/>
          <w:szCs w:val="36"/>
        </w:rPr>
        <w:tab/>
      </w:r>
      <w:r>
        <w:rPr>
          <w:rFonts w:hint="eastAsia" w:ascii="仿宋_GB2312" w:hAnsi="仿宋_GB2312" w:eastAsia="仿宋_GB2312" w:cs="仿宋_GB2312"/>
          <w:color w:val="000000"/>
          <w:sz w:val="28"/>
          <w:szCs w:val="36"/>
        </w:rPr>
        <w:fldChar w:fldCharType="begin"/>
      </w:r>
      <w:r>
        <w:rPr>
          <w:rFonts w:hint="eastAsia" w:ascii="仿宋_GB2312" w:hAnsi="仿宋_GB2312" w:eastAsia="仿宋_GB2312" w:cs="仿宋_GB2312"/>
          <w:color w:val="000000"/>
          <w:sz w:val="28"/>
          <w:szCs w:val="36"/>
        </w:rPr>
        <w:instrText xml:space="preserve"> PAGEREF _Toc17366 \h </w:instrText>
      </w:r>
      <w:r>
        <w:rPr>
          <w:rFonts w:hint="eastAsia" w:ascii="仿宋_GB2312" w:hAnsi="仿宋_GB2312" w:eastAsia="仿宋_GB2312" w:cs="仿宋_GB2312"/>
          <w:color w:val="000000"/>
          <w:sz w:val="28"/>
          <w:szCs w:val="36"/>
        </w:rPr>
        <w:fldChar w:fldCharType="separate"/>
      </w:r>
      <w:r>
        <w:rPr>
          <w:rFonts w:hint="eastAsia" w:ascii="仿宋_GB2312" w:hAnsi="仿宋_GB2312" w:eastAsia="仿宋_GB2312" w:cs="仿宋_GB2312"/>
          <w:color w:val="000000"/>
          <w:sz w:val="28"/>
          <w:szCs w:val="36"/>
        </w:rPr>
        <w:t>- 5 -</w:t>
      </w:r>
      <w:r>
        <w:rPr>
          <w:rFonts w:hint="eastAsia" w:ascii="仿宋_GB2312" w:hAnsi="仿宋_GB2312" w:eastAsia="仿宋_GB2312" w:cs="仿宋_GB2312"/>
          <w:color w:val="000000"/>
          <w:sz w:val="28"/>
          <w:szCs w:val="36"/>
        </w:rPr>
        <w:fldChar w:fldCharType="end"/>
      </w:r>
      <w:r>
        <w:rPr>
          <w:rFonts w:hint="eastAsia" w:ascii="仿宋" w:hAnsi="仿宋" w:eastAsia="仿宋" w:cs="仿宋"/>
          <w:color w:val="000000"/>
          <w:sz w:val="28"/>
          <w:szCs w:val="144"/>
          <w:lang w:val="en-US" w:eastAsia="zh-CN"/>
        </w:rPr>
        <w:fldChar w:fldCharType="end"/>
      </w:r>
    </w:p>
    <w:p>
      <w:pPr>
        <w:pStyle w:val="8"/>
        <w:shd w:val="clear"/>
        <w:tabs>
          <w:tab w:val="right" w:leader="dot" w:pos="8306"/>
        </w:tabs>
        <w:spacing w:line="460" w:lineRule="exact"/>
        <w:rPr>
          <w:color w:val="000000"/>
          <w:sz w:val="28"/>
          <w:szCs w:val="36"/>
        </w:rPr>
      </w:pPr>
      <w:r>
        <w:rPr>
          <w:rFonts w:hint="eastAsia" w:ascii="仿宋" w:hAnsi="仿宋" w:eastAsia="仿宋" w:cs="仿宋"/>
          <w:color w:val="000000"/>
          <w:sz w:val="28"/>
          <w:szCs w:val="144"/>
          <w:lang w:val="en-US" w:eastAsia="zh-CN"/>
        </w:rPr>
        <w:fldChar w:fldCharType="begin"/>
      </w:r>
      <w:r>
        <w:rPr>
          <w:rFonts w:hint="eastAsia" w:ascii="仿宋" w:hAnsi="仿宋" w:eastAsia="仿宋" w:cs="仿宋"/>
          <w:color w:val="000000"/>
          <w:sz w:val="28"/>
          <w:szCs w:val="144"/>
          <w:lang w:val="en-US" w:eastAsia="zh-CN"/>
        </w:rPr>
        <w:instrText xml:space="preserve"> HYPERLINK \l _Toc1773 </w:instrText>
      </w:r>
      <w:r>
        <w:rPr>
          <w:rFonts w:hint="eastAsia" w:ascii="仿宋" w:hAnsi="仿宋" w:eastAsia="仿宋" w:cs="仿宋"/>
          <w:color w:val="000000"/>
          <w:sz w:val="28"/>
          <w:szCs w:val="144"/>
          <w:lang w:val="en-US" w:eastAsia="zh-CN"/>
        </w:rPr>
        <w:fldChar w:fldCharType="separate"/>
      </w:r>
      <w:r>
        <w:rPr>
          <w:rFonts w:hint="eastAsia" w:ascii="仿宋_GB2312" w:hAnsi="仿宋_GB2312" w:eastAsia="仿宋_GB2312" w:cs="仿宋_GB2312"/>
          <w:bCs/>
          <w:i w:val="0"/>
          <w:iCs w:val="0"/>
          <w:caps w:val="0"/>
          <w:color w:val="000000"/>
          <w:spacing w:val="0"/>
          <w:kern w:val="0"/>
          <w:sz w:val="28"/>
          <w:szCs w:val="44"/>
          <w:shd w:val="clear" w:color="auto" w:fill="FFFFFF"/>
          <w:lang w:val="en-US" w:eastAsia="zh-CN" w:bidi="ar"/>
        </w:rPr>
        <w:t>（二）加快构建碳排放双控制度体系</w:t>
      </w:r>
      <w:r>
        <w:rPr>
          <w:color w:val="000000"/>
          <w:sz w:val="28"/>
          <w:szCs w:val="36"/>
        </w:rPr>
        <w:tab/>
      </w:r>
      <w:r>
        <w:rPr>
          <w:rFonts w:hint="eastAsia" w:ascii="仿宋_GB2312" w:hAnsi="仿宋_GB2312" w:eastAsia="仿宋_GB2312" w:cs="仿宋_GB2312"/>
          <w:color w:val="000000"/>
          <w:sz w:val="28"/>
          <w:szCs w:val="36"/>
        </w:rPr>
        <w:fldChar w:fldCharType="begin"/>
      </w:r>
      <w:r>
        <w:rPr>
          <w:rFonts w:hint="eastAsia" w:ascii="仿宋_GB2312" w:hAnsi="仿宋_GB2312" w:eastAsia="仿宋_GB2312" w:cs="仿宋_GB2312"/>
          <w:color w:val="000000"/>
          <w:sz w:val="28"/>
          <w:szCs w:val="36"/>
        </w:rPr>
        <w:instrText xml:space="preserve"> PAGEREF _Toc1773 \h </w:instrText>
      </w:r>
      <w:r>
        <w:rPr>
          <w:rFonts w:hint="eastAsia" w:ascii="仿宋_GB2312" w:hAnsi="仿宋_GB2312" w:eastAsia="仿宋_GB2312" w:cs="仿宋_GB2312"/>
          <w:color w:val="000000"/>
          <w:sz w:val="28"/>
          <w:szCs w:val="36"/>
        </w:rPr>
        <w:fldChar w:fldCharType="separate"/>
      </w:r>
      <w:r>
        <w:rPr>
          <w:rFonts w:hint="eastAsia" w:ascii="仿宋_GB2312" w:hAnsi="仿宋_GB2312" w:eastAsia="仿宋_GB2312" w:cs="仿宋_GB2312"/>
          <w:color w:val="000000"/>
          <w:sz w:val="28"/>
          <w:szCs w:val="36"/>
        </w:rPr>
        <w:t>- 7 -</w:t>
      </w:r>
      <w:r>
        <w:rPr>
          <w:rFonts w:hint="eastAsia" w:ascii="仿宋_GB2312" w:hAnsi="仿宋_GB2312" w:eastAsia="仿宋_GB2312" w:cs="仿宋_GB2312"/>
          <w:color w:val="000000"/>
          <w:sz w:val="28"/>
          <w:szCs w:val="36"/>
        </w:rPr>
        <w:fldChar w:fldCharType="end"/>
      </w:r>
      <w:r>
        <w:rPr>
          <w:rFonts w:hint="eastAsia" w:ascii="仿宋" w:hAnsi="仿宋" w:eastAsia="仿宋" w:cs="仿宋"/>
          <w:color w:val="000000"/>
          <w:sz w:val="28"/>
          <w:szCs w:val="144"/>
          <w:lang w:val="en-US" w:eastAsia="zh-CN"/>
        </w:rPr>
        <w:fldChar w:fldCharType="end"/>
      </w:r>
    </w:p>
    <w:p>
      <w:pPr>
        <w:pStyle w:val="8"/>
        <w:shd w:val="clear"/>
        <w:tabs>
          <w:tab w:val="right" w:leader="dot" w:pos="8306"/>
        </w:tabs>
        <w:spacing w:line="460" w:lineRule="exact"/>
        <w:rPr>
          <w:color w:val="000000"/>
          <w:sz w:val="28"/>
          <w:szCs w:val="36"/>
        </w:rPr>
      </w:pPr>
      <w:r>
        <w:rPr>
          <w:rFonts w:hint="eastAsia" w:ascii="仿宋" w:hAnsi="仿宋" w:eastAsia="仿宋" w:cs="仿宋"/>
          <w:color w:val="000000"/>
          <w:sz w:val="28"/>
          <w:szCs w:val="144"/>
          <w:lang w:val="en-US" w:eastAsia="zh-CN"/>
        </w:rPr>
        <w:fldChar w:fldCharType="begin"/>
      </w:r>
      <w:r>
        <w:rPr>
          <w:rFonts w:hint="eastAsia" w:ascii="仿宋" w:hAnsi="仿宋" w:eastAsia="仿宋" w:cs="仿宋"/>
          <w:color w:val="000000"/>
          <w:sz w:val="28"/>
          <w:szCs w:val="144"/>
          <w:lang w:val="en-US" w:eastAsia="zh-CN"/>
        </w:rPr>
        <w:instrText xml:space="preserve"> HYPERLINK \l _Toc13778 </w:instrText>
      </w:r>
      <w:r>
        <w:rPr>
          <w:rFonts w:hint="eastAsia" w:ascii="仿宋" w:hAnsi="仿宋" w:eastAsia="仿宋" w:cs="仿宋"/>
          <w:color w:val="000000"/>
          <w:sz w:val="28"/>
          <w:szCs w:val="144"/>
          <w:lang w:val="en-US" w:eastAsia="zh-CN"/>
        </w:rPr>
        <w:fldChar w:fldCharType="separate"/>
      </w:r>
      <w:r>
        <w:rPr>
          <w:rFonts w:hint="eastAsia" w:ascii="仿宋_GB2312" w:hAnsi="仿宋_GB2312" w:eastAsia="仿宋_GB2312" w:cs="仿宋_GB2312"/>
          <w:bCs/>
          <w:i w:val="0"/>
          <w:iCs w:val="0"/>
          <w:caps w:val="0"/>
          <w:color w:val="000000"/>
          <w:spacing w:val="0"/>
          <w:kern w:val="0"/>
          <w:sz w:val="28"/>
          <w:szCs w:val="44"/>
          <w:shd w:val="clear" w:color="auto" w:fill="FFFFFF"/>
          <w:lang w:val="en-US" w:eastAsia="zh-CN" w:bidi="ar"/>
        </w:rPr>
        <w:t>（三）推进重点领域的绿色转型发展</w:t>
      </w:r>
      <w:r>
        <w:rPr>
          <w:color w:val="000000"/>
          <w:sz w:val="28"/>
          <w:szCs w:val="36"/>
        </w:rPr>
        <w:tab/>
      </w:r>
      <w:r>
        <w:rPr>
          <w:rFonts w:hint="eastAsia" w:ascii="仿宋_GB2312" w:hAnsi="仿宋_GB2312" w:eastAsia="仿宋_GB2312" w:cs="仿宋_GB2312"/>
          <w:color w:val="000000"/>
          <w:sz w:val="28"/>
          <w:szCs w:val="36"/>
        </w:rPr>
        <w:fldChar w:fldCharType="begin"/>
      </w:r>
      <w:r>
        <w:rPr>
          <w:rFonts w:hint="eastAsia" w:ascii="仿宋_GB2312" w:hAnsi="仿宋_GB2312" w:eastAsia="仿宋_GB2312" w:cs="仿宋_GB2312"/>
          <w:color w:val="000000"/>
          <w:sz w:val="28"/>
          <w:szCs w:val="36"/>
        </w:rPr>
        <w:instrText xml:space="preserve"> PAGEREF _Toc13778 \h </w:instrText>
      </w:r>
      <w:r>
        <w:rPr>
          <w:rFonts w:hint="eastAsia" w:ascii="仿宋_GB2312" w:hAnsi="仿宋_GB2312" w:eastAsia="仿宋_GB2312" w:cs="仿宋_GB2312"/>
          <w:color w:val="000000"/>
          <w:sz w:val="28"/>
          <w:szCs w:val="36"/>
        </w:rPr>
        <w:fldChar w:fldCharType="separate"/>
      </w:r>
      <w:r>
        <w:rPr>
          <w:rFonts w:hint="eastAsia" w:ascii="仿宋_GB2312" w:hAnsi="仿宋_GB2312" w:eastAsia="仿宋_GB2312" w:cs="仿宋_GB2312"/>
          <w:color w:val="000000"/>
          <w:sz w:val="28"/>
          <w:szCs w:val="36"/>
        </w:rPr>
        <w:t>- 7 -</w:t>
      </w:r>
      <w:r>
        <w:rPr>
          <w:rFonts w:hint="eastAsia" w:ascii="仿宋_GB2312" w:hAnsi="仿宋_GB2312" w:eastAsia="仿宋_GB2312" w:cs="仿宋_GB2312"/>
          <w:color w:val="000000"/>
          <w:sz w:val="28"/>
          <w:szCs w:val="36"/>
        </w:rPr>
        <w:fldChar w:fldCharType="end"/>
      </w:r>
      <w:r>
        <w:rPr>
          <w:rFonts w:hint="eastAsia" w:ascii="仿宋" w:hAnsi="仿宋" w:eastAsia="仿宋" w:cs="仿宋"/>
          <w:color w:val="000000"/>
          <w:sz w:val="28"/>
          <w:szCs w:val="144"/>
          <w:lang w:val="en-US" w:eastAsia="zh-CN"/>
        </w:rPr>
        <w:fldChar w:fldCharType="end"/>
      </w:r>
    </w:p>
    <w:p>
      <w:pPr>
        <w:pStyle w:val="8"/>
        <w:shd w:val="clear"/>
        <w:tabs>
          <w:tab w:val="right" w:leader="dot" w:pos="8306"/>
        </w:tabs>
        <w:spacing w:line="460" w:lineRule="exact"/>
        <w:rPr>
          <w:color w:val="000000"/>
          <w:sz w:val="28"/>
          <w:szCs w:val="36"/>
        </w:rPr>
      </w:pPr>
      <w:r>
        <w:rPr>
          <w:rFonts w:hint="eastAsia" w:ascii="仿宋" w:hAnsi="仿宋" w:eastAsia="仿宋" w:cs="仿宋"/>
          <w:color w:val="000000"/>
          <w:sz w:val="28"/>
          <w:szCs w:val="144"/>
          <w:lang w:val="en-US" w:eastAsia="zh-CN"/>
        </w:rPr>
        <w:fldChar w:fldCharType="begin"/>
      </w:r>
      <w:r>
        <w:rPr>
          <w:rFonts w:hint="eastAsia" w:ascii="仿宋" w:hAnsi="仿宋" w:eastAsia="仿宋" w:cs="仿宋"/>
          <w:color w:val="000000"/>
          <w:sz w:val="28"/>
          <w:szCs w:val="144"/>
          <w:lang w:val="en-US" w:eastAsia="zh-CN"/>
        </w:rPr>
        <w:instrText xml:space="preserve"> HYPERLINK \l _Toc8026 </w:instrText>
      </w:r>
      <w:r>
        <w:rPr>
          <w:rFonts w:hint="eastAsia" w:ascii="仿宋" w:hAnsi="仿宋" w:eastAsia="仿宋" w:cs="仿宋"/>
          <w:color w:val="000000"/>
          <w:sz w:val="28"/>
          <w:szCs w:val="144"/>
          <w:lang w:val="en-US" w:eastAsia="zh-CN"/>
        </w:rPr>
        <w:fldChar w:fldCharType="separate"/>
      </w:r>
      <w:r>
        <w:rPr>
          <w:rFonts w:hint="eastAsia" w:ascii="仿宋_GB2312" w:hAnsi="仿宋_GB2312" w:eastAsia="仿宋_GB2312" w:cs="仿宋_GB2312"/>
          <w:bCs/>
          <w:i w:val="0"/>
          <w:iCs w:val="0"/>
          <w:caps w:val="0"/>
          <w:color w:val="000000"/>
          <w:spacing w:val="0"/>
          <w:kern w:val="0"/>
          <w:sz w:val="28"/>
          <w:szCs w:val="44"/>
          <w:shd w:val="clear" w:color="auto" w:fill="FFFFFF"/>
          <w:lang w:val="en-US" w:eastAsia="zh-CN" w:bidi="ar"/>
        </w:rPr>
        <w:t>（四）确保资源节约集约和循环利用</w:t>
      </w:r>
      <w:r>
        <w:rPr>
          <w:color w:val="000000"/>
          <w:sz w:val="28"/>
          <w:szCs w:val="36"/>
        </w:rPr>
        <w:tab/>
      </w:r>
      <w:r>
        <w:rPr>
          <w:rFonts w:hint="eastAsia" w:ascii="仿宋_GB2312" w:hAnsi="仿宋_GB2312" w:eastAsia="仿宋_GB2312" w:cs="仿宋_GB2312"/>
          <w:color w:val="000000"/>
          <w:sz w:val="28"/>
          <w:szCs w:val="36"/>
        </w:rPr>
        <w:fldChar w:fldCharType="begin"/>
      </w:r>
      <w:r>
        <w:rPr>
          <w:rFonts w:hint="eastAsia" w:ascii="仿宋_GB2312" w:hAnsi="仿宋_GB2312" w:eastAsia="仿宋_GB2312" w:cs="仿宋_GB2312"/>
          <w:color w:val="000000"/>
          <w:sz w:val="28"/>
          <w:szCs w:val="36"/>
        </w:rPr>
        <w:instrText xml:space="preserve"> PAGEREF _Toc8026 \h </w:instrText>
      </w:r>
      <w:r>
        <w:rPr>
          <w:rFonts w:hint="eastAsia" w:ascii="仿宋_GB2312" w:hAnsi="仿宋_GB2312" w:eastAsia="仿宋_GB2312" w:cs="仿宋_GB2312"/>
          <w:color w:val="000000"/>
          <w:sz w:val="28"/>
          <w:szCs w:val="36"/>
        </w:rPr>
        <w:fldChar w:fldCharType="separate"/>
      </w:r>
      <w:r>
        <w:rPr>
          <w:rFonts w:hint="eastAsia" w:ascii="仿宋_GB2312" w:hAnsi="仿宋_GB2312" w:eastAsia="仿宋_GB2312" w:cs="仿宋_GB2312"/>
          <w:color w:val="000000"/>
          <w:sz w:val="28"/>
          <w:szCs w:val="36"/>
        </w:rPr>
        <w:t>- 9 -</w:t>
      </w:r>
      <w:r>
        <w:rPr>
          <w:rFonts w:hint="eastAsia" w:ascii="仿宋_GB2312" w:hAnsi="仿宋_GB2312" w:eastAsia="仿宋_GB2312" w:cs="仿宋_GB2312"/>
          <w:color w:val="000000"/>
          <w:sz w:val="28"/>
          <w:szCs w:val="36"/>
        </w:rPr>
        <w:fldChar w:fldCharType="end"/>
      </w:r>
      <w:r>
        <w:rPr>
          <w:rFonts w:hint="eastAsia" w:ascii="仿宋" w:hAnsi="仿宋" w:eastAsia="仿宋" w:cs="仿宋"/>
          <w:color w:val="000000"/>
          <w:sz w:val="28"/>
          <w:szCs w:val="144"/>
          <w:lang w:val="en-US" w:eastAsia="zh-CN"/>
        </w:rPr>
        <w:fldChar w:fldCharType="end"/>
      </w:r>
    </w:p>
    <w:p>
      <w:pPr>
        <w:pStyle w:val="8"/>
        <w:shd w:val="clear"/>
        <w:tabs>
          <w:tab w:val="right" w:leader="dot" w:pos="8306"/>
        </w:tabs>
        <w:spacing w:line="460" w:lineRule="exact"/>
        <w:rPr>
          <w:color w:val="000000"/>
          <w:sz w:val="28"/>
          <w:szCs w:val="36"/>
        </w:rPr>
      </w:pPr>
      <w:r>
        <w:rPr>
          <w:rFonts w:hint="eastAsia" w:ascii="仿宋" w:hAnsi="仿宋" w:eastAsia="仿宋" w:cs="仿宋"/>
          <w:color w:val="000000"/>
          <w:sz w:val="28"/>
          <w:szCs w:val="144"/>
          <w:lang w:val="en-US" w:eastAsia="zh-CN"/>
        </w:rPr>
        <w:fldChar w:fldCharType="begin"/>
      </w:r>
      <w:r>
        <w:rPr>
          <w:rFonts w:hint="eastAsia" w:ascii="仿宋" w:hAnsi="仿宋" w:eastAsia="仿宋" w:cs="仿宋"/>
          <w:color w:val="000000"/>
          <w:sz w:val="28"/>
          <w:szCs w:val="144"/>
          <w:lang w:val="en-US" w:eastAsia="zh-CN"/>
        </w:rPr>
        <w:instrText xml:space="preserve"> HYPERLINK \l _Toc9225 </w:instrText>
      </w:r>
      <w:r>
        <w:rPr>
          <w:rFonts w:hint="eastAsia" w:ascii="仿宋" w:hAnsi="仿宋" w:eastAsia="仿宋" w:cs="仿宋"/>
          <w:color w:val="000000"/>
          <w:sz w:val="28"/>
          <w:szCs w:val="144"/>
          <w:lang w:val="en-US" w:eastAsia="zh-CN"/>
        </w:rPr>
        <w:fldChar w:fldCharType="separate"/>
      </w:r>
      <w:r>
        <w:rPr>
          <w:rFonts w:hint="eastAsia" w:ascii="仿宋_GB2312" w:hAnsi="仿宋_GB2312" w:eastAsia="仿宋_GB2312" w:cs="仿宋_GB2312"/>
          <w:bCs/>
          <w:i w:val="0"/>
          <w:iCs w:val="0"/>
          <w:caps w:val="0"/>
          <w:color w:val="000000"/>
          <w:spacing w:val="0"/>
          <w:kern w:val="0"/>
          <w:sz w:val="28"/>
          <w:szCs w:val="44"/>
          <w:shd w:val="clear" w:color="auto" w:fill="FFFFFF"/>
          <w:lang w:val="en-US" w:eastAsia="zh-CN" w:bidi="ar"/>
        </w:rPr>
        <w:t>（五）健全生态产品价值的实现机制</w:t>
      </w:r>
      <w:r>
        <w:rPr>
          <w:color w:val="000000"/>
          <w:sz w:val="28"/>
          <w:szCs w:val="36"/>
        </w:rPr>
        <w:tab/>
      </w:r>
      <w:r>
        <w:rPr>
          <w:rFonts w:hint="eastAsia" w:ascii="仿宋_GB2312" w:hAnsi="仿宋_GB2312" w:eastAsia="仿宋_GB2312" w:cs="仿宋_GB2312"/>
          <w:color w:val="000000"/>
          <w:sz w:val="28"/>
          <w:szCs w:val="36"/>
        </w:rPr>
        <w:fldChar w:fldCharType="begin"/>
      </w:r>
      <w:r>
        <w:rPr>
          <w:rFonts w:hint="eastAsia" w:ascii="仿宋_GB2312" w:hAnsi="仿宋_GB2312" w:eastAsia="仿宋_GB2312" w:cs="仿宋_GB2312"/>
          <w:color w:val="000000"/>
          <w:sz w:val="28"/>
          <w:szCs w:val="36"/>
        </w:rPr>
        <w:instrText xml:space="preserve"> PAGEREF _Toc9225 \h </w:instrText>
      </w:r>
      <w:r>
        <w:rPr>
          <w:rFonts w:hint="eastAsia" w:ascii="仿宋_GB2312" w:hAnsi="仿宋_GB2312" w:eastAsia="仿宋_GB2312" w:cs="仿宋_GB2312"/>
          <w:color w:val="000000"/>
          <w:sz w:val="28"/>
          <w:szCs w:val="36"/>
        </w:rPr>
        <w:fldChar w:fldCharType="separate"/>
      </w:r>
      <w:r>
        <w:rPr>
          <w:rFonts w:hint="eastAsia" w:ascii="仿宋_GB2312" w:hAnsi="仿宋_GB2312" w:eastAsia="仿宋_GB2312" w:cs="仿宋_GB2312"/>
          <w:color w:val="000000"/>
          <w:sz w:val="28"/>
          <w:szCs w:val="36"/>
        </w:rPr>
        <w:t>- 9 -</w:t>
      </w:r>
      <w:r>
        <w:rPr>
          <w:rFonts w:hint="eastAsia" w:ascii="仿宋_GB2312" w:hAnsi="仿宋_GB2312" w:eastAsia="仿宋_GB2312" w:cs="仿宋_GB2312"/>
          <w:color w:val="000000"/>
          <w:sz w:val="28"/>
          <w:szCs w:val="36"/>
        </w:rPr>
        <w:fldChar w:fldCharType="end"/>
      </w:r>
      <w:r>
        <w:rPr>
          <w:rFonts w:hint="eastAsia" w:ascii="仿宋" w:hAnsi="仿宋" w:eastAsia="仿宋" w:cs="仿宋"/>
          <w:color w:val="000000"/>
          <w:sz w:val="28"/>
          <w:szCs w:val="144"/>
          <w:lang w:val="en-US" w:eastAsia="zh-CN"/>
        </w:rPr>
        <w:fldChar w:fldCharType="end"/>
      </w:r>
    </w:p>
    <w:p>
      <w:pPr>
        <w:pStyle w:val="7"/>
        <w:shd w:val="clear"/>
        <w:tabs>
          <w:tab w:val="right" w:leader="dot" w:pos="8306"/>
        </w:tabs>
        <w:spacing w:line="460" w:lineRule="exact"/>
        <w:rPr>
          <w:color w:val="000000"/>
          <w:sz w:val="28"/>
          <w:szCs w:val="36"/>
        </w:rPr>
      </w:pPr>
      <w:r>
        <w:rPr>
          <w:rFonts w:hint="eastAsia" w:ascii="仿宋" w:hAnsi="仿宋" w:eastAsia="仿宋" w:cs="仿宋"/>
          <w:color w:val="000000"/>
          <w:sz w:val="28"/>
          <w:szCs w:val="144"/>
          <w:lang w:val="en-US" w:eastAsia="zh-CN"/>
        </w:rPr>
        <w:fldChar w:fldCharType="begin"/>
      </w:r>
      <w:r>
        <w:rPr>
          <w:rFonts w:hint="eastAsia" w:ascii="仿宋" w:hAnsi="仿宋" w:eastAsia="仿宋" w:cs="仿宋"/>
          <w:color w:val="000000"/>
          <w:sz w:val="28"/>
          <w:szCs w:val="144"/>
          <w:lang w:val="en-US" w:eastAsia="zh-CN"/>
        </w:rPr>
        <w:instrText xml:space="preserve"> HYPERLINK \l _Toc9815 </w:instrText>
      </w:r>
      <w:r>
        <w:rPr>
          <w:rFonts w:hint="eastAsia" w:ascii="仿宋" w:hAnsi="仿宋" w:eastAsia="仿宋" w:cs="仿宋"/>
          <w:color w:val="000000"/>
          <w:sz w:val="28"/>
          <w:szCs w:val="144"/>
          <w:lang w:val="en-US" w:eastAsia="zh-CN"/>
        </w:rPr>
        <w:fldChar w:fldCharType="separate"/>
      </w:r>
      <w:r>
        <w:rPr>
          <w:rFonts w:hint="eastAsia" w:ascii="黑体" w:hAnsi="黑体" w:eastAsia="黑体" w:cs="黑体"/>
          <w:bCs/>
          <w:i w:val="0"/>
          <w:iCs w:val="0"/>
          <w:caps w:val="0"/>
          <w:color w:val="000000"/>
          <w:spacing w:val="0"/>
          <w:kern w:val="0"/>
          <w:sz w:val="28"/>
          <w:szCs w:val="44"/>
          <w:shd w:val="clear" w:color="auto" w:fill="FFFFFF"/>
          <w:lang w:val="en-US" w:eastAsia="zh-CN" w:bidi="ar"/>
        </w:rPr>
        <w:t>三、铸就山海一体污染防治典范</w:t>
      </w:r>
      <w:r>
        <w:rPr>
          <w:rFonts w:ascii="等线" w:hAnsi="Times New Roman" w:eastAsia="等线" w:cs="Times New Roman"/>
          <w:snapToGrid/>
          <w:color w:val="000000"/>
          <w:kern w:val="2"/>
          <w:sz w:val="28"/>
          <w:szCs w:val="36"/>
          <w:lang w:val="en-US" w:eastAsia="zh-CN" w:bidi="ar-SA"/>
        </w:rPr>
        <w:tab/>
      </w:r>
      <w:r>
        <w:rPr>
          <w:rFonts w:hint="eastAsia" w:ascii="仿宋_GB2312" w:hAnsi="仿宋_GB2312" w:eastAsia="仿宋_GB2312" w:cs="仿宋_GB2312"/>
          <w:snapToGrid/>
          <w:color w:val="000000"/>
          <w:kern w:val="2"/>
          <w:sz w:val="28"/>
          <w:szCs w:val="36"/>
          <w:lang w:val="en-US" w:eastAsia="zh-CN" w:bidi="ar-SA"/>
        </w:rPr>
        <w:fldChar w:fldCharType="begin"/>
      </w:r>
      <w:r>
        <w:rPr>
          <w:rFonts w:hint="eastAsia" w:ascii="仿宋_GB2312" w:hAnsi="仿宋_GB2312" w:eastAsia="仿宋_GB2312" w:cs="仿宋_GB2312"/>
          <w:snapToGrid/>
          <w:color w:val="000000"/>
          <w:kern w:val="2"/>
          <w:sz w:val="28"/>
          <w:szCs w:val="36"/>
          <w:lang w:val="en-US" w:eastAsia="zh-CN" w:bidi="ar-SA"/>
        </w:rPr>
        <w:instrText xml:space="preserve"> PAGEREF _Toc9815 \h </w:instrText>
      </w:r>
      <w:r>
        <w:rPr>
          <w:rFonts w:hint="eastAsia" w:ascii="仿宋_GB2312" w:hAnsi="仿宋_GB2312" w:eastAsia="仿宋_GB2312" w:cs="仿宋_GB2312"/>
          <w:snapToGrid/>
          <w:color w:val="000000"/>
          <w:kern w:val="2"/>
          <w:sz w:val="28"/>
          <w:szCs w:val="36"/>
          <w:lang w:val="en-US" w:eastAsia="zh-CN" w:bidi="ar-SA"/>
        </w:rPr>
        <w:fldChar w:fldCharType="separate"/>
      </w:r>
      <w:r>
        <w:rPr>
          <w:rFonts w:hint="eastAsia" w:ascii="仿宋_GB2312" w:hAnsi="仿宋_GB2312" w:eastAsia="仿宋_GB2312" w:cs="仿宋_GB2312"/>
          <w:snapToGrid/>
          <w:color w:val="000000"/>
          <w:kern w:val="2"/>
          <w:sz w:val="28"/>
          <w:szCs w:val="36"/>
          <w:lang w:val="en-US" w:eastAsia="zh-CN" w:bidi="ar-SA"/>
        </w:rPr>
        <w:t>- 13 -</w:t>
      </w:r>
      <w:r>
        <w:rPr>
          <w:rFonts w:hint="eastAsia" w:ascii="仿宋_GB2312" w:hAnsi="仿宋_GB2312" w:eastAsia="仿宋_GB2312" w:cs="仿宋_GB2312"/>
          <w:snapToGrid/>
          <w:color w:val="000000"/>
          <w:kern w:val="2"/>
          <w:sz w:val="28"/>
          <w:szCs w:val="36"/>
          <w:lang w:val="en-US" w:eastAsia="zh-CN" w:bidi="ar-SA"/>
        </w:rPr>
        <w:fldChar w:fldCharType="end"/>
      </w:r>
      <w:r>
        <w:rPr>
          <w:rFonts w:hint="eastAsia" w:ascii="仿宋" w:hAnsi="仿宋" w:eastAsia="仿宋" w:cs="仿宋"/>
          <w:color w:val="000000"/>
          <w:sz w:val="28"/>
          <w:szCs w:val="144"/>
          <w:lang w:val="en-US" w:eastAsia="zh-CN"/>
        </w:rPr>
        <w:fldChar w:fldCharType="end"/>
      </w:r>
    </w:p>
    <w:p>
      <w:pPr>
        <w:pStyle w:val="8"/>
        <w:shd w:val="clear"/>
        <w:tabs>
          <w:tab w:val="right" w:leader="dot" w:pos="8306"/>
        </w:tabs>
        <w:spacing w:line="460" w:lineRule="exact"/>
        <w:rPr>
          <w:color w:val="000000"/>
          <w:sz w:val="28"/>
          <w:szCs w:val="36"/>
        </w:rPr>
      </w:pPr>
      <w:r>
        <w:rPr>
          <w:rFonts w:hint="eastAsia" w:ascii="仿宋" w:hAnsi="仿宋" w:eastAsia="仿宋" w:cs="仿宋"/>
          <w:color w:val="000000"/>
          <w:sz w:val="28"/>
          <w:szCs w:val="144"/>
          <w:lang w:val="en-US" w:eastAsia="zh-CN"/>
        </w:rPr>
        <w:fldChar w:fldCharType="begin"/>
      </w:r>
      <w:r>
        <w:rPr>
          <w:rFonts w:hint="eastAsia" w:ascii="仿宋" w:hAnsi="仿宋" w:eastAsia="仿宋" w:cs="仿宋"/>
          <w:color w:val="000000"/>
          <w:sz w:val="28"/>
          <w:szCs w:val="144"/>
          <w:lang w:val="en-US" w:eastAsia="zh-CN"/>
        </w:rPr>
        <w:instrText xml:space="preserve"> HYPERLINK \l _Toc12751 </w:instrText>
      </w:r>
      <w:r>
        <w:rPr>
          <w:rFonts w:hint="eastAsia" w:ascii="仿宋" w:hAnsi="仿宋" w:eastAsia="仿宋" w:cs="仿宋"/>
          <w:color w:val="000000"/>
          <w:sz w:val="28"/>
          <w:szCs w:val="144"/>
          <w:lang w:val="en-US" w:eastAsia="zh-CN"/>
        </w:rPr>
        <w:fldChar w:fldCharType="separate"/>
      </w:r>
      <w:r>
        <w:rPr>
          <w:rFonts w:hint="eastAsia" w:ascii="仿宋_GB2312" w:hAnsi="仿宋_GB2312" w:eastAsia="仿宋_GB2312" w:cs="仿宋_GB2312"/>
          <w:bCs/>
          <w:i w:val="0"/>
          <w:iCs w:val="0"/>
          <w:caps w:val="0"/>
          <w:color w:val="000000"/>
          <w:spacing w:val="0"/>
          <w:kern w:val="0"/>
          <w:sz w:val="28"/>
          <w:szCs w:val="44"/>
          <w:shd w:val="clear" w:color="auto" w:fill="FFFFFF"/>
          <w:lang w:val="en-US" w:eastAsia="zh-CN" w:bidi="ar"/>
        </w:rPr>
        <w:t>（六）保育闽中永续发展沿海生态屏障</w:t>
      </w:r>
      <w:r>
        <w:rPr>
          <w:rFonts w:hint="eastAsia" w:ascii="仿宋_GB2312" w:hAnsi="仿宋_GB2312" w:eastAsia="仿宋_GB2312" w:cs="仿宋_GB2312"/>
          <w:color w:val="000000"/>
          <w:sz w:val="28"/>
          <w:szCs w:val="36"/>
        </w:rPr>
        <w:tab/>
      </w:r>
      <w:r>
        <w:rPr>
          <w:rFonts w:hint="eastAsia" w:ascii="仿宋_GB2312" w:hAnsi="仿宋_GB2312" w:eastAsia="仿宋_GB2312" w:cs="仿宋_GB2312"/>
          <w:color w:val="000000"/>
          <w:sz w:val="28"/>
          <w:szCs w:val="36"/>
        </w:rPr>
        <w:fldChar w:fldCharType="begin"/>
      </w:r>
      <w:r>
        <w:rPr>
          <w:rFonts w:hint="eastAsia" w:ascii="仿宋_GB2312" w:hAnsi="仿宋_GB2312" w:eastAsia="仿宋_GB2312" w:cs="仿宋_GB2312"/>
          <w:color w:val="000000"/>
          <w:sz w:val="28"/>
          <w:szCs w:val="36"/>
        </w:rPr>
        <w:instrText xml:space="preserve"> PAGEREF _Toc12751 \h </w:instrText>
      </w:r>
      <w:r>
        <w:rPr>
          <w:rFonts w:hint="eastAsia" w:ascii="仿宋_GB2312" w:hAnsi="仿宋_GB2312" w:eastAsia="仿宋_GB2312" w:cs="仿宋_GB2312"/>
          <w:color w:val="000000"/>
          <w:sz w:val="28"/>
          <w:szCs w:val="36"/>
        </w:rPr>
        <w:fldChar w:fldCharType="separate"/>
      </w:r>
      <w:r>
        <w:rPr>
          <w:rFonts w:hint="eastAsia" w:ascii="仿宋_GB2312" w:hAnsi="仿宋_GB2312" w:eastAsia="仿宋_GB2312" w:cs="仿宋_GB2312"/>
          <w:color w:val="000000"/>
          <w:sz w:val="28"/>
          <w:szCs w:val="36"/>
        </w:rPr>
        <w:t>- 13 -</w:t>
      </w:r>
      <w:r>
        <w:rPr>
          <w:rFonts w:hint="eastAsia" w:ascii="仿宋_GB2312" w:hAnsi="仿宋_GB2312" w:eastAsia="仿宋_GB2312" w:cs="仿宋_GB2312"/>
          <w:color w:val="000000"/>
          <w:sz w:val="28"/>
          <w:szCs w:val="36"/>
        </w:rPr>
        <w:fldChar w:fldCharType="end"/>
      </w:r>
      <w:r>
        <w:rPr>
          <w:rFonts w:hint="eastAsia" w:ascii="仿宋" w:hAnsi="仿宋" w:eastAsia="仿宋" w:cs="仿宋"/>
          <w:color w:val="000000"/>
          <w:sz w:val="28"/>
          <w:szCs w:val="144"/>
          <w:lang w:val="en-US" w:eastAsia="zh-CN"/>
        </w:rPr>
        <w:fldChar w:fldCharType="end"/>
      </w:r>
    </w:p>
    <w:p>
      <w:pPr>
        <w:pStyle w:val="8"/>
        <w:shd w:val="clear"/>
        <w:tabs>
          <w:tab w:val="right" w:leader="dot" w:pos="8306"/>
        </w:tabs>
        <w:spacing w:line="460" w:lineRule="exact"/>
        <w:rPr>
          <w:rFonts w:hint="eastAsia" w:ascii="仿宋_GB2312" w:hAnsi="仿宋_GB2312" w:eastAsia="仿宋_GB2312" w:cs="仿宋_GB2312"/>
          <w:color w:val="000000"/>
          <w:sz w:val="28"/>
          <w:szCs w:val="36"/>
        </w:rPr>
      </w:pPr>
      <w:r>
        <w:rPr>
          <w:rFonts w:hint="eastAsia" w:ascii="仿宋_GB2312" w:hAnsi="仿宋_GB2312" w:eastAsia="仿宋_GB2312" w:cs="仿宋_GB2312"/>
          <w:color w:val="000000"/>
          <w:sz w:val="28"/>
          <w:szCs w:val="144"/>
          <w:lang w:val="en-US" w:eastAsia="zh-CN"/>
        </w:rPr>
        <w:fldChar w:fldCharType="begin"/>
      </w:r>
      <w:r>
        <w:rPr>
          <w:rFonts w:hint="eastAsia" w:ascii="仿宋_GB2312" w:hAnsi="仿宋_GB2312" w:eastAsia="仿宋_GB2312" w:cs="仿宋_GB2312"/>
          <w:color w:val="000000"/>
          <w:sz w:val="28"/>
          <w:szCs w:val="144"/>
          <w:lang w:val="en-US" w:eastAsia="zh-CN"/>
        </w:rPr>
        <w:instrText xml:space="preserve"> HYPERLINK \l _Toc19954 </w:instrText>
      </w:r>
      <w:r>
        <w:rPr>
          <w:rFonts w:hint="eastAsia" w:ascii="仿宋_GB2312" w:hAnsi="仿宋_GB2312" w:eastAsia="仿宋_GB2312" w:cs="仿宋_GB2312"/>
          <w:color w:val="000000"/>
          <w:sz w:val="28"/>
          <w:szCs w:val="144"/>
          <w:lang w:val="en-US" w:eastAsia="zh-CN"/>
        </w:rPr>
        <w:fldChar w:fldCharType="separate"/>
      </w:r>
      <w:r>
        <w:rPr>
          <w:rFonts w:hint="eastAsia" w:ascii="仿宋_GB2312" w:hAnsi="仿宋_GB2312" w:eastAsia="仿宋_GB2312" w:cs="仿宋_GB2312"/>
          <w:bCs/>
          <w:i w:val="0"/>
          <w:iCs w:val="0"/>
          <w:caps w:val="0"/>
          <w:color w:val="000000"/>
          <w:spacing w:val="0"/>
          <w:kern w:val="0"/>
          <w:sz w:val="28"/>
          <w:szCs w:val="44"/>
          <w:shd w:val="clear" w:color="auto" w:fill="FFFFFF"/>
          <w:lang w:val="en-US" w:eastAsia="zh-CN" w:bidi="ar"/>
        </w:rPr>
        <w:t>（七）推进陆海空全域污染的协同防治</w:t>
      </w:r>
      <w:r>
        <w:rPr>
          <w:rFonts w:hint="eastAsia" w:ascii="仿宋_GB2312" w:hAnsi="仿宋_GB2312" w:eastAsia="仿宋_GB2312" w:cs="仿宋_GB2312"/>
          <w:color w:val="000000"/>
          <w:sz w:val="28"/>
          <w:szCs w:val="36"/>
        </w:rPr>
        <w:tab/>
      </w:r>
      <w:r>
        <w:rPr>
          <w:rFonts w:hint="eastAsia" w:ascii="仿宋_GB2312" w:hAnsi="仿宋_GB2312" w:eastAsia="仿宋_GB2312" w:cs="仿宋_GB2312"/>
          <w:color w:val="000000"/>
          <w:sz w:val="28"/>
          <w:szCs w:val="36"/>
        </w:rPr>
        <w:fldChar w:fldCharType="begin"/>
      </w:r>
      <w:r>
        <w:rPr>
          <w:rFonts w:hint="eastAsia" w:ascii="仿宋_GB2312" w:hAnsi="仿宋_GB2312" w:eastAsia="仿宋_GB2312" w:cs="仿宋_GB2312"/>
          <w:color w:val="000000"/>
          <w:sz w:val="28"/>
          <w:szCs w:val="36"/>
        </w:rPr>
        <w:instrText xml:space="preserve"> PAGEREF _Toc19954 \h </w:instrText>
      </w:r>
      <w:r>
        <w:rPr>
          <w:rFonts w:hint="eastAsia" w:ascii="仿宋_GB2312" w:hAnsi="仿宋_GB2312" w:eastAsia="仿宋_GB2312" w:cs="仿宋_GB2312"/>
          <w:color w:val="000000"/>
          <w:sz w:val="28"/>
          <w:szCs w:val="36"/>
        </w:rPr>
        <w:fldChar w:fldCharType="separate"/>
      </w:r>
      <w:r>
        <w:rPr>
          <w:rFonts w:hint="eastAsia" w:ascii="仿宋_GB2312" w:hAnsi="仿宋_GB2312" w:eastAsia="仿宋_GB2312" w:cs="仿宋_GB2312"/>
          <w:color w:val="000000"/>
          <w:sz w:val="28"/>
          <w:szCs w:val="36"/>
        </w:rPr>
        <w:t>- 14 -</w:t>
      </w:r>
      <w:r>
        <w:rPr>
          <w:rFonts w:hint="eastAsia" w:ascii="仿宋_GB2312" w:hAnsi="仿宋_GB2312" w:eastAsia="仿宋_GB2312" w:cs="仿宋_GB2312"/>
          <w:color w:val="000000"/>
          <w:sz w:val="28"/>
          <w:szCs w:val="36"/>
        </w:rPr>
        <w:fldChar w:fldCharType="end"/>
      </w:r>
      <w:r>
        <w:rPr>
          <w:rFonts w:hint="eastAsia" w:ascii="仿宋_GB2312" w:hAnsi="仿宋_GB2312" w:eastAsia="仿宋_GB2312" w:cs="仿宋_GB2312"/>
          <w:color w:val="000000"/>
          <w:sz w:val="28"/>
          <w:szCs w:val="144"/>
          <w:lang w:val="en-US" w:eastAsia="zh-CN"/>
        </w:rPr>
        <w:fldChar w:fldCharType="end"/>
      </w:r>
    </w:p>
    <w:p>
      <w:pPr>
        <w:pStyle w:val="8"/>
        <w:shd w:val="clear"/>
        <w:tabs>
          <w:tab w:val="right" w:leader="dot" w:pos="8306"/>
        </w:tabs>
        <w:spacing w:line="460" w:lineRule="exact"/>
        <w:rPr>
          <w:color w:val="000000"/>
          <w:sz w:val="28"/>
          <w:szCs w:val="36"/>
        </w:rPr>
      </w:pPr>
      <w:r>
        <w:rPr>
          <w:rFonts w:hint="eastAsia" w:ascii="仿宋" w:hAnsi="仿宋" w:eastAsia="仿宋" w:cs="仿宋"/>
          <w:color w:val="000000"/>
          <w:sz w:val="28"/>
          <w:szCs w:val="144"/>
          <w:lang w:val="en-US" w:eastAsia="zh-CN"/>
        </w:rPr>
        <w:fldChar w:fldCharType="begin"/>
      </w:r>
      <w:r>
        <w:rPr>
          <w:rFonts w:hint="eastAsia" w:ascii="仿宋" w:hAnsi="仿宋" w:eastAsia="仿宋" w:cs="仿宋"/>
          <w:color w:val="000000"/>
          <w:sz w:val="28"/>
          <w:szCs w:val="144"/>
          <w:lang w:val="en-US" w:eastAsia="zh-CN"/>
        </w:rPr>
        <w:instrText xml:space="preserve"> HYPERLINK \l _Toc7383 </w:instrText>
      </w:r>
      <w:r>
        <w:rPr>
          <w:rFonts w:hint="eastAsia" w:ascii="仿宋" w:hAnsi="仿宋" w:eastAsia="仿宋" w:cs="仿宋"/>
          <w:color w:val="000000"/>
          <w:sz w:val="28"/>
          <w:szCs w:val="144"/>
          <w:lang w:val="en-US" w:eastAsia="zh-CN"/>
        </w:rPr>
        <w:fldChar w:fldCharType="separate"/>
      </w:r>
      <w:r>
        <w:rPr>
          <w:rFonts w:hint="eastAsia" w:ascii="仿宋_GB2312" w:hAnsi="仿宋_GB2312" w:eastAsia="仿宋_GB2312" w:cs="仿宋_GB2312"/>
          <w:bCs/>
          <w:i w:val="0"/>
          <w:iCs w:val="0"/>
          <w:caps w:val="0"/>
          <w:color w:val="000000"/>
          <w:spacing w:val="0"/>
          <w:kern w:val="0"/>
          <w:sz w:val="28"/>
          <w:szCs w:val="44"/>
          <w:shd w:val="clear" w:color="auto" w:fill="FFFFFF"/>
          <w:lang w:val="en-US" w:eastAsia="zh-CN" w:bidi="ar"/>
        </w:rPr>
        <w:t>（八）全面开展“无废城市”建设管理</w:t>
      </w:r>
      <w:r>
        <w:rPr>
          <w:color w:val="000000"/>
          <w:sz w:val="28"/>
          <w:szCs w:val="36"/>
        </w:rPr>
        <w:tab/>
      </w:r>
      <w:r>
        <w:rPr>
          <w:rFonts w:hint="eastAsia" w:ascii="仿宋_GB2312" w:hAnsi="仿宋_GB2312" w:eastAsia="仿宋_GB2312" w:cs="仿宋_GB2312"/>
          <w:color w:val="000000"/>
          <w:sz w:val="28"/>
          <w:szCs w:val="36"/>
        </w:rPr>
        <w:fldChar w:fldCharType="begin"/>
      </w:r>
      <w:r>
        <w:rPr>
          <w:rFonts w:hint="eastAsia" w:ascii="仿宋_GB2312" w:hAnsi="仿宋_GB2312" w:eastAsia="仿宋_GB2312" w:cs="仿宋_GB2312"/>
          <w:color w:val="000000"/>
          <w:sz w:val="28"/>
          <w:szCs w:val="36"/>
        </w:rPr>
        <w:instrText xml:space="preserve"> PAGEREF _Toc7383 \h </w:instrText>
      </w:r>
      <w:r>
        <w:rPr>
          <w:rFonts w:hint="eastAsia" w:ascii="仿宋_GB2312" w:hAnsi="仿宋_GB2312" w:eastAsia="仿宋_GB2312" w:cs="仿宋_GB2312"/>
          <w:color w:val="000000"/>
          <w:sz w:val="28"/>
          <w:szCs w:val="36"/>
        </w:rPr>
        <w:fldChar w:fldCharType="separate"/>
      </w:r>
      <w:r>
        <w:rPr>
          <w:rFonts w:hint="eastAsia" w:ascii="仿宋_GB2312" w:hAnsi="仿宋_GB2312" w:eastAsia="仿宋_GB2312" w:cs="仿宋_GB2312"/>
          <w:color w:val="000000"/>
          <w:sz w:val="28"/>
          <w:szCs w:val="36"/>
        </w:rPr>
        <w:t>- 16 -</w:t>
      </w:r>
      <w:r>
        <w:rPr>
          <w:rFonts w:hint="eastAsia" w:ascii="仿宋_GB2312" w:hAnsi="仿宋_GB2312" w:eastAsia="仿宋_GB2312" w:cs="仿宋_GB2312"/>
          <w:color w:val="000000"/>
          <w:sz w:val="28"/>
          <w:szCs w:val="36"/>
        </w:rPr>
        <w:fldChar w:fldCharType="end"/>
      </w:r>
      <w:r>
        <w:rPr>
          <w:rFonts w:hint="eastAsia" w:ascii="仿宋" w:hAnsi="仿宋" w:eastAsia="仿宋" w:cs="仿宋"/>
          <w:color w:val="000000"/>
          <w:sz w:val="28"/>
          <w:szCs w:val="144"/>
          <w:lang w:val="en-US" w:eastAsia="zh-CN"/>
        </w:rPr>
        <w:fldChar w:fldCharType="end"/>
      </w:r>
    </w:p>
    <w:p>
      <w:pPr>
        <w:pStyle w:val="8"/>
        <w:shd w:val="clear"/>
        <w:tabs>
          <w:tab w:val="right" w:leader="dot" w:pos="8306"/>
        </w:tabs>
        <w:spacing w:line="460" w:lineRule="exact"/>
        <w:rPr>
          <w:rFonts w:hint="eastAsia" w:ascii="仿宋_GB2312" w:hAnsi="仿宋_GB2312" w:eastAsia="仿宋_GB2312" w:cs="仿宋_GB2312"/>
          <w:color w:val="000000"/>
          <w:sz w:val="28"/>
          <w:szCs w:val="36"/>
        </w:rPr>
      </w:pPr>
      <w:r>
        <w:rPr>
          <w:rFonts w:hint="eastAsia" w:ascii="仿宋_GB2312" w:hAnsi="仿宋_GB2312" w:eastAsia="仿宋_GB2312" w:cs="仿宋_GB2312"/>
          <w:color w:val="000000"/>
          <w:sz w:val="28"/>
          <w:szCs w:val="144"/>
          <w:lang w:val="en-US" w:eastAsia="zh-CN"/>
        </w:rPr>
        <w:fldChar w:fldCharType="begin"/>
      </w:r>
      <w:r>
        <w:rPr>
          <w:rFonts w:hint="eastAsia" w:ascii="仿宋_GB2312" w:hAnsi="仿宋_GB2312" w:eastAsia="仿宋_GB2312" w:cs="仿宋_GB2312"/>
          <w:color w:val="000000"/>
          <w:sz w:val="28"/>
          <w:szCs w:val="144"/>
          <w:lang w:val="en-US" w:eastAsia="zh-CN"/>
        </w:rPr>
        <w:instrText xml:space="preserve"> HYPERLINK \l _Toc26988 </w:instrText>
      </w:r>
      <w:r>
        <w:rPr>
          <w:rFonts w:hint="eastAsia" w:ascii="仿宋_GB2312" w:hAnsi="仿宋_GB2312" w:eastAsia="仿宋_GB2312" w:cs="仿宋_GB2312"/>
          <w:color w:val="000000"/>
          <w:sz w:val="28"/>
          <w:szCs w:val="144"/>
          <w:lang w:val="en-US" w:eastAsia="zh-CN"/>
        </w:rPr>
        <w:fldChar w:fldCharType="separate"/>
      </w:r>
      <w:r>
        <w:rPr>
          <w:rFonts w:hint="eastAsia" w:ascii="仿宋_GB2312" w:hAnsi="仿宋_GB2312" w:eastAsia="仿宋_GB2312" w:cs="仿宋_GB2312"/>
          <w:bCs/>
          <w:i w:val="0"/>
          <w:iCs w:val="0"/>
          <w:caps w:val="0"/>
          <w:color w:val="000000"/>
          <w:spacing w:val="0"/>
          <w:kern w:val="0"/>
          <w:sz w:val="28"/>
          <w:szCs w:val="44"/>
          <w:shd w:val="clear" w:color="auto" w:fill="FFFFFF"/>
          <w:lang w:val="en-US" w:eastAsia="zh-CN" w:bidi="ar"/>
        </w:rPr>
        <w:t>（九）坚决守牢生态环境安全底线</w:t>
      </w:r>
      <w:r>
        <w:rPr>
          <w:rFonts w:hint="eastAsia" w:ascii="仿宋_GB2312" w:hAnsi="仿宋_GB2312" w:eastAsia="仿宋_GB2312" w:cs="仿宋_GB2312"/>
          <w:color w:val="000000"/>
          <w:sz w:val="28"/>
          <w:szCs w:val="36"/>
        </w:rPr>
        <w:tab/>
      </w:r>
      <w:r>
        <w:rPr>
          <w:rFonts w:hint="eastAsia" w:ascii="仿宋_GB2312" w:hAnsi="仿宋_GB2312" w:eastAsia="仿宋_GB2312" w:cs="仿宋_GB2312"/>
          <w:color w:val="000000"/>
          <w:sz w:val="28"/>
          <w:szCs w:val="36"/>
        </w:rPr>
        <w:fldChar w:fldCharType="begin"/>
      </w:r>
      <w:r>
        <w:rPr>
          <w:rFonts w:hint="eastAsia" w:ascii="仿宋_GB2312" w:hAnsi="仿宋_GB2312" w:eastAsia="仿宋_GB2312" w:cs="仿宋_GB2312"/>
          <w:color w:val="000000"/>
          <w:sz w:val="28"/>
          <w:szCs w:val="36"/>
        </w:rPr>
        <w:instrText xml:space="preserve"> PAGEREF _Toc26988 \h </w:instrText>
      </w:r>
      <w:r>
        <w:rPr>
          <w:rFonts w:hint="eastAsia" w:ascii="仿宋_GB2312" w:hAnsi="仿宋_GB2312" w:eastAsia="仿宋_GB2312" w:cs="仿宋_GB2312"/>
          <w:color w:val="000000"/>
          <w:sz w:val="28"/>
          <w:szCs w:val="36"/>
        </w:rPr>
        <w:fldChar w:fldCharType="separate"/>
      </w:r>
      <w:r>
        <w:rPr>
          <w:rFonts w:hint="eastAsia" w:ascii="仿宋_GB2312" w:hAnsi="仿宋_GB2312" w:eastAsia="仿宋_GB2312" w:cs="仿宋_GB2312"/>
          <w:color w:val="000000"/>
          <w:sz w:val="28"/>
          <w:szCs w:val="36"/>
        </w:rPr>
        <w:t>- 17 -</w:t>
      </w:r>
      <w:r>
        <w:rPr>
          <w:rFonts w:hint="eastAsia" w:ascii="仿宋_GB2312" w:hAnsi="仿宋_GB2312" w:eastAsia="仿宋_GB2312" w:cs="仿宋_GB2312"/>
          <w:color w:val="000000"/>
          <w:sz w:val="28"/>
          <w:szCs w:val="36"/>
        </w:rPr>
        <w:fldChar w:fldCharType="end"/>
      </w:r>
      <w:r>
        <w:rPr>
          <w:rFonts w:hint="eastAsia" w:ascii="仿宋_GB2312" w:hAnsi="仿宋_GB2312" w:eastAsia="仿宋_GB2312" w:cs="仿宋_GB2312"/>
          <w:color w:val="000000"/>
          <w:sz w:val="28"/>
          <w:szCs w:val="144"/>
          <w:lang w:val="en-US" w:eastAsia="zh-CN"/>
        </w:rPr>
        <w:fldChar w:fldCharType="end"/>
      </w:r>
    </w:p>
    <w:p>
      <w:pPr>
        <w:pStyle w:val="8"/>
        <w:shd w:val="clear"/>
        <w:tabs>
          <w:tab w:val="right" w:leader="dot" w:pos="8306"/>
        </w:tabs>
        <w:spacing w:line="460" w:lineRule="exact"/>
        <w:rPr>
          <w:color w:val="000000"/>
          <w:sz w:val="28"/>
          <w:szCs w:val="36"/>
        </w:rPr>
      </w:pPr>
      <w:r>
        <w:rPr>
          <w:rFonts w:hint="eastAsia" w:ascii="仿宋" w:hAnsi="仿宋" w:eastAsia="仿宋" w:cs="仿宋"/>
          <w:color w:val="000000"/>
          <w:sz w:val="28"/>
          <w:szCs w:val="144"/>
          <w:lang w:val="en-US" w:eastAsia="zh-CN"/>
        </w:rPr>
        <w:fldChar w:fldCharType="begin"/>
      </w:r>
      <w:r>
        <w:rPr>
          <w:rFonts w:hint="eastAsia" w:ascii="仿宋" w:hAnsi="仿宋" w:eastAsia="仿宋" w:cs="仿宋"/>
          <w:color w:val="000000"/>
          <w:sz w:val="28"/>
          <w:szCs w:val="144"/>
          <w:lang w:val="en-US" w:eastAsia="zh-CN"/>
        </w:rPr>
        <w:instrText xml:space="preserve"> HYPERLINK \l _Toc11858 </w:instrText>
      </w:r>
      <w:r>
        <w:rPr>
          <w:rFonts w:hint="eastAsia" w:ascii="仿宋" w:hAnsi="仿宋" w:eastAsia="仿宋" w:cs="仿宋"/>
          <w:color w:val="000000"/>
          <w:sz w:val="28"/>
          <w:szCs w:val="144"/>
          <w:lang w:val="en-US" w:eastAsia="zh-CN"/>
        </w:rPr>
        <w:fldChar w:fldCharType="separate"/>
      </w:r>
      <w:r>
        <w:rPr>
          <w:rFonts w:hint="eastAsia" w:ascii="仿宋_GB2312" w:hAnsi="仿宋_GB2312" w:eastAsia="仿宋_GB2312" w:cs="仿宋_GB2312"/>
          <w:bCs/>
          <w:i w:val="0"/>
          <w:iCs w:val="0"/>
          <w:caps w:val="0"/>
          <w:color w:val="000000"/>
          <w:spacing w:val="0"/>
          <w:kern w:val="0"/>
          <w:sz w:val="28"/>
          <w:szCs w:val="44"/>
          <w:shd w:val="clear" w:color="auto" w:fill="FFFFFF"/>
          <w:lang w:val="en-US" w:eastAsia="zh-CN" w:bidi="ar"/>
        </w:rPr>
        <w:t>（十）完善生态文明管理保障体制机制</w:t>
      </w:r>
      <w:r>
        <w:rPr>
          <w:color w:val="000000"/>
          <w:sz w:val="28"/>
          <w:szCs w:val="36"/>
        </w:rPr>
        <w:tab/>
      </w:r>
      <w:r>
        <w:rPr>
          <w:rFonts w:hint="eastAsia" w:ascii="仿宋_GB2312" w:hAnsi="仿宋_GB2312" w:eastAsia="仿宋_GB2312" w:cs="仿宋_GB2312"/>
          <w:color w:val="000000"/>
          <w:sz w:val="28"/>
          <w:szCs w:val="36"/>
        </w:rPr>
        <w:fldChar w:fldCharType="begin"/>
      </w:r>
      <w:r>
        <w:rPr>
          <w:rFonts w:hint="eastAsia" w:ascii="仿宋_GB2312" w:hAnsi="仿宋_GB2312" w:eastAsia="仿宋_GB2312" w:cs="仿宋_GB2312"/>
          <w:color w:val="000000"/>
          <w:sz w:val="28"/>
          <w:szCs w:val="36"/>
        </w:rPr>
        <w:instrText xml:space="preserve"> PAGEREF _Toc11858 \h </w:instrText>
      </w:r>
      <w:r>
        <w:rPr>
          <w:rFonts w:hint="eastAsia" w:ascii="仿宋_GB2312" w:hAnsi="仿宋_GB2312" w:eastAsia="仿宋_GB2312" w:cs="仿宋_GB2312"/>
          <w:color w:val="000000"/>
          <w:sz w:val="28"/>
          <w:szCs w:val="36"/>
        </w:rPr>
        <w:fldChar w:fldCharType="separate"/>
      </w:r>
      <w:r>
        <w:rPr>
          <w:rFonts w:hint="eastAsia" w:ascii="仿宋_GB2312" w:hAnsi="仿宋_GB2312" w:eastAsia="仿宋_GB2312" w:cs="仿宋_GB2312"/>
          <w:color w:val="000000"/>
          <w:sz w:val="28"/>
          <w:szCs w:val="36"/>
        </w:rPr>
        <w:t>- 17 -</w:t>
      </w:r>
      <w:r>
        <w:rPr>
          <w:rFonts w:hint="eastAsia" w:ascii="仿宋_GB2312" w:hAnsi="仿宋_GB2312" w:eastAsia="仿宋_GB2312" w:cs="仿宋_GB2312"/>
          <w:color w:val="000000"/>
          <w:sz w:val="28"/>
          <w:szCs w:val="36"/>
        </w:rPr>
        <w:fldChar w:fldCharType="end"/>
      </w:r>
      <w:r>
        <w:rPr>
          <w:rFonts w:hint="eastAsia" w:ascii="仿宋" w:hAnsi="仿宋" w:eastAsia="仿宋" w:cs="仿宋"/>
          <w:color w:val="000000"/>
          <w:sz w:val="28"/>
          <w:szCs w:val="144"/>
          <w:lang w:val="en-US" w:eastAsia="zh-CN"/>
        </w:rPr>
        <w:fldChar w:fldCharType="end"/>
      </w:r>
    </w:p>
    <w:p>
      <w:pPr>
        <w:pStyle w:val="7"/>
        <w:shd w:val="clear"/>
        <w:tabs>
          <w:tab w:val="right" w:leader="dot" w:pos="8306"/>
        </w:tabs>
        <w:spacing w:line="460" w:lineRule="exact"/>
        <w:rPr>
          <w:color w:val="000000"/>
          <w:sz w:val="28"/>
          <w:szCs w:val="36"/>
        </w:rPr>
      </w:pPr>
      <w:r>
        <w:rPr>
          <w:rFonts w:hint="eastAsia" w:ascii="仿宋" w:hAnsi="仿宋" w:eastAsia="仿宋" w:cs="仿宋"/>
          <w:color w:val="000000"/>
          <w:sz w:val="28"/>
          <w:szCs w:val="144"/>
          <w:lang w:val="en-US" w:eastAsia="zh-CN"/>
        </w:rPr>
        <w:fldChar w:fldCharType="begin"/>
      </w:r>
      <w:r>
        <w:rPr>
          <w:rFonts w:hint="eastAsia" w:ascii="仿宋" w:hAnsi="仿宋" w:eastAsia="仿宋" w:cs="仿宋"/>
          <w:color w:val="000000"/>
          <w:sz w:val="28"/>
          <w:szCs w:val="144"/>
          <w:lang w:val="en-US" w:eastAsia="zh-CN"/>
        </w:rPr>
        <w:instrText xml:space="preserve"> HYPERLINK \l _Toc7258 </w:instrText>
      </w:r>
      <w:r>
        <w:rPr>
          <w:rFonts w:hint="eastAsia" w:ascii="仿宋" w:hAnsi="仿宋" w:eastAsia="仿宋" w:cs="仿宋"/>
          <w:color w:val="000000"/>
          <w:sz w:val="28"/>
          <w:szCs w:val="144"/>
          <w:lang w:val="en-US" w:eastAsia="zh-CN"/>
        </w:rPr>
        <w:fldChar w:fldCharType="separate"/>
      </w:r>
      <w:r>
        <w:rPr>
          <w:rFonts w:hint="eastAsia" w:ascii="黑体" w:hAnsi="黑体" w:eastAsia="黑体" w:cs="黑体"/>
          <w:bCs/>
          <w:i w:val="0"/>
          <w:iCs w:val="0"/>
          <w:caps w:val="0"/>
          <w:color w:val="000000"/>
          <w:spacing w:val="0"/>
          <w:kern w:val="0"/>
          <w:sz w:val="28"/>
          <w:szCs w:val="44"/>
          <w:shd w:val="clear" w:color="auto" w:fill="FFFFFF"/>
          <w:lang w:val="en-US" w:eastAsia="zh-CN" w:bidi="ar"/>
        </w:rPr>
        <w:t>四、勇立生态文明改革创新浪尖</w:t>
      </w:r>
      <w:r>
        <w:rPr>
          <w:rFonts w:hint="eastAsia" w:ascii="仿宋_GB2312" w:hAnsi="仿宋_GB2312" w:eastAsia="仿宋_GB2312" w:cs="仿宋_GB2312"/>
          <w:snapToGrid/>
          <w:color w:val="000000"/>
          <w:kern w:val="2"/>
          <w:sz w:val="28"/>
          <w:szCs w:val="36"/>
          <w:lang w:val="en-US" w:eastAsia="zh-CN" w:bidi="ar-SA"/>
        </w:rPr>
        <w:tab/>
      </w:r>
      <w:r>
        <w:rPr>
          <w:rFonts w:hint="eastAsia" w:ascii="仿宋_GB2312" w:hAnsi="仿宋_GB2312" w:eastAsia="仿宋_GB2312" w:cs="仿宋_GB2312"/>
          <w:snapToGrid/>
          <w:color w:val="000000"/>
          <w:kern w:val="2"/>
          <w:sz w:val="28"/>
          <w:szCs w:val="36"/>
          <w:lang w:val="en-US" w:eastAsia="zh-CN" w:bidi="ar-SA"/>
        </w:rPr>
        <w:fldChar w:fldCharType="begin"/>
      </w:r>
      <w:r>
        <w:rPr>
          <w:rFonts w:hint="eastAsia" w:ascii="仿宋_GB2312" w:hAnsi="仿宋_GB2312" w:eastAsia="仿宋_GB2312" w:cs="仿宋_GB2312"/>
          <w:snapToGrid/>
          <w:color w:val="000000"/>
          <w:kern w:val="2"/>
          <w:sz w:val="28"/>
          <w:szCs w:val="36"/>
          <w:lang w:val="en-US" w:eastAsia="zh-CN" w:bidi="ar-SA"/>
        </w:rPr>
        <w:instrText xml:space="preserve"> PAGEREF _Toc7258 \h </w:instrText>
      </w:r>
      <w:r>
        <w:rPr>
          <w:rFonts w:hint="eastAsia" w:ascii="仿宋_GB2312" w:hAnsi="仿宋_GB2312" w:eastAsia="仿宋_GB2312" w:cs="仿宋_GB2312"/>
          <w:snapToGrid/>
          <w:color w:val="000000"/>
          <w:kern w:val="2"/>
          <w:sz w:val="28"/>
          <w:szCs w:val="36"/>
          <w:lang w:val="en-US" w:eastAsia="zh-CN" w:bidi="ar-SA"/>
        </w:rPr>
        <w:fldChar w:fldCharType="separate"/>
      </w:r>
      <w:r>
        <w:rPr>
          <w:rFonts w:hint="eastAsia" w:ascii="仿宋_GB2312" w:hAnsi="仿宋_GB2312" w:eastAsia="仿宋_GB2312" w:cs="仿宋_GB2312"/>
          <w:snapToGrid/>
          <w:color w:val="000000"/>
          <w:kern w:val="2"/>
          <w:sz w:val="28"/>
          <w:szCs w:val="36"/>
          <w:lang w:val="en-US" w:eastAsia="zh-CN" w:bidi="ar-SA"/>
        </w:rPr>
        <w:t>- 22 -</w:t>
      </w:r>
      <w:r>
        <w:rPr>
          <w:rFonts w:hint="eastAsia" w:ascii="仿宋_GB2312" w:hAnsi="仿宋_GB2312" w:eastAsia="仿宋_GB2312" w:cs="仿宋_GB2312"/>
          <w:snapToGrid/>
          <w:color w:val="000000"/>
          <w:kern w:val="2"/>
          <w:sz w:val="28"/>
          <w:szCs w:val="36"/>
          <w:lang w:val="en-US" w:eastAsia="zh-CN" w:bidi="ar-SA"/>
        </w:rPr>
        <w:fldChar w:fldCharType="end"/>
      </w:r>
      <w:r>
        <w:rPr>
          <w:rFonts w:hint="eastAsia" w:ascii="仿宋" w:hAnsi="仿宋" w:eastAsia="仿宋" w:cs="仿宋"/>
          <w:color w:val="000000"/>
          <w:sz w:val="28"/>
          <w:szCs w:val="144"/>
          <w:lang w:val="en-US" w:eastAsia="zh-CN"/>
        </w:rPr>
        <w:fldChar w:fldCharType="end"/>
      </w:r>
    </w:p>
    <w:p>
      <w:pPr>
        <w:pStyle w:val="8"/>
        <w:shd w:val="clear"/>
        <w:tabs>
          <w:tab w:val="right" w:leader="dot" w:pos="8306"/>
        </w:tabs>
        <w:spacing w:line="460" w:lineRule="exact"/>
        <w:rPr>
          <w:rFonts w:hint="eastAsia" w:ascii="仿宋_GB2312" w:hAnsi="仿宋_GB2312" w:eastAsia="仿宋_GB2312" w:cs="仿宋_GB2312"/>
          <w:color w:val="000000"/>
          <w:sz w:val="28"/>
          <w:szCs w:val="36"/>
        </w:rPr>
      </w:pPr>
      <w:r>
        <w:rPr>
          <w:rFonts w:hint="eastAsia" w:ascii="仿宋_GB2312" w:hAnsi="仿宋_GB2312" w:eastAsia="仿宋_GB2312" w:cs="仿宋_GB2312"/>
          <w:color w:val="000000"/>
          <w:sz w:val="28"/>
          <w:szCs w:val="144"/>
          <w:lang w:val="en-US" w:eastAsia="zh-CN"/>
        </w:rPr>
        <w:fldChar w:fldCharType="begin"/>
      </w:r>
      <w:r>
        <w:rPr>
          <w:rFonts w:hint="eastAsia" w:ascii="仿宋_GB2312" w:hAnsi="仿宋_GB2312" w:eastAsia="仿宋_GB2312" w:cs="仿宋_GB2312"/>
          <w:color w:val="000000"/>
          <w:sz w:val="28"/>
          <w:szCs w:val="144"/>
          <w:lang w:val="en-US" w:eastAsia="zh-CN"/>
        </w:rPr>
        <w:instrText xml:space="preserve"> HYPERLINK \l _Toc9734 </w:instrText>
      </w:r>
      <w:r>
        <w:rPr>
          <w:rFonts w:hint="eastAsia" w:ascii="仿宋_GB2312" w:hAnsi="仿宋_GB2312" w:eastAsia="仿宋_GB2312" w:cs="仿宋_GB2312"/>
          <w:color w:val="000000"/>
          <w:sz w:val="28"/>
          <w:szCs w:val="144"/>
          <w:lang w:val="en-US" w:eastAsia="zh-CN"/>
        </w:rPr>
        <w:fldChar w:fldCharType="separate"/>
      </w:r>
      <w:r>
        <w:rPr>
          <w:rFonts w:hint="eastAsia" w:ascii="仿宋_GB2312" w:hAnsi="仿宋_GB2312" w:eastAsia="仿宋_GB2312" w:cs="仿宋_GB2312"/>
          <w:bCs/>
          <w:i w:val="0"/>
          <w:iCs w:val="0"/>
          <w:caps w:val="0"/>
          <w:color w:val="000000"/>
          <w:spacing w:val="0"/>
          <w:kern w:val="0"/>
          <w:sz w:val="28"/>
          <w:szCs w:val="44"/>
          <w:shd w:val="clear" w:color="auto" w:fill="FFFFFF"/>
          <w:lang w:val="en-US" w:eastAsia="zh-CN" w:bidi="ar"/>
        </w:rPr>
        <w:t>（十一）打造木兰溪治理新样本</w:t>
      </w:r>
      <w:r>
        <w:rPr>
          <w:rFonts w:hint="eastAsia" w:ascii="仿宋_GB2312" w:hAnsi="仿宋_GB2312" w:eastAsia="仿宋_GB2312" w:cs="仿宋_GB2312"/>
          <w:color w:val="000000"/>
          <w:sz w:val="28"/>
          <w:szCs w:val="36"/>
        </w:rPr>
        <w:tab/>
      </w:r>
      <w:r>
        <w:rPr>
          <w:rFonts w:hint="eastAsia" w:ascii="仿宋_GB2312" w:hAnsi="仿宋_GB2312" w:eastAsia="仿宋_GB2312" w:cs="仿宋_GB2312"/>
          <w:color w:val="000000"/>
          <w:sz w:val="28"/>
          <w:szCs w:val="36"/>
        </w:rPr>
        <w:fldChar w:fldCharType="begin"/>
      </w:r>
      <w:r>
        <w:rPr>
          <w:rFonts w:hint="eastAsia" w:ascii="仿宋_GB2312" w:hAnsi="仿宋_GB2312" w:eastAsia="仿宋_GB2312" w:cs="仿宋_GB2312"/>
          <w:color w:val="000000"/>
          <w:sz w:val="28"/>
          <w:szCs w:val="36"/>
        </w:rPr>
        <w:instrText xml:space="preserve"> PAGEREF _Toc9734 \h </w:instrText>
      </w:r>
      <w:r>
        <w:rPr>
          <w:rFonts w:hint="eastAsia" w:ascii="仿宋_GB2312" w:hAnsi="仿宋_GB2312" w:eastAsia="仿宋_GB2312" w:cs="仿宋_GB2312"/>
          <w:color w:val="000000"/>
          <w:sz w:val="28"/>
          <w:szCs w:val="36"/>
        </w:rPr>
        <w:fldChar w:fldCharType="separate"/>
      </w:r>
      <w:r>
        <w:rPr>
          <w:rFonts w:hint="eastAsia" w:ascii="仿宋_GB2312" w:hAnsi="仿宋_GB2312" w:eastAsia="仿宋_GB2312" w:cs="仿宋_GB2312"/>
          <w:color w:val="000000"/>
          <w:sz w:val="28"/>
          <w:szCs w:val="36"/>
        </w:rPr>
        <w:t>- 22 -</w:t>
      </w:r>
      <w:r>
        <w:rPr>
          <w:rFonts w:hint="eastAsia" w:ascii="仿宋_GB2312" w:hAnsi="仿宋_GB2312" w:eastAsia="仿宋_GB2312" w:cs="仿宋_GB2312"/>
          <w:color w:val="000000"/>
          <w:sz w:val="28"/>
          <w:szCs w:val="36"/>
        </w:rPr>
        <w:fldChar w:fldCharType="end"/>
      </w:r>
      <w:r>
        <w:rPr>
          <w:rFonts w:hint="eastAsia" w:ascii="仿宋_GB2312" w:hAnsi="仿宋_GB2312" w:eastAsia="仿宋_GB2312" w:cs="仿宋_GB2312"/>
          <w:color w:val="000000"/>
          <w:sz w:val="28"/>
          <w:szCs w:val="144"/>
          <w:lang w:val="en-US" w:eastAsia="zh-CN"/>
        </w:rPr>
        <w:fldChar w:fldCharType="end"/>
      </w:r>
    </w:p>
    <w:p>
      <w:pPr>
        <w:pStyle w:val="8"/>
        <w:shd w:val="clear"/>
        <w:tabs>
          <w:tab w:val="right" w:leader="dot" w:pos="8306"/>
        </w:tabs>
        <w:spacing w:line="460" w:lineRule="exact"/>
        <w:rPr>
          <w:color w:val="000000"/>
          <w:sz w:val="28"/>
          <w:szCs w:val="36"/>
        </w:rPr>
      </w:pPr>
      <w:r>
        <w:rPr>
          <w:rFonts w:hint="eastAsia" w:ascii="仿宋" w:hAnsi="仿宋" w:eastAsia="仿宋" w:cs="仿宋"/>
          <w:color w:val="000000"/>
          <w:sz w:val="28"/>
          <w:szCs w:val="144"/>
          <w:lang w:val="en-US" w:eastAsia="zh-CN"/>
        </w:rPr>
        <w:fldChar w:fldCharType="begin"/>
      </w:r>
      <w:r>
        <w:rPr>
          <w:rFonts w:hint="eastAsia" w:ascii="仿宋" w:hAnsi="仿宋" w:eastAsia="仿宋" w:cs="仿宋"/>
          <w:color w:val="000000"/>
          <w:sz w:val="28"/>
          <w:szCs w:val="144"/>
          <w:lang w:val="en-US" w:eastAsia="zh-CN"/>
        </w:rPr>
        <w:instrText xml:space="preserve"> HYPERLINK \l _Toc12266 </w:instrText>
      </w:r>
      <w:r>
        <w:rPr>
          <w:rFonts w:hint="eastAsia" w:ascii="仿宋" w:hAnsi="仿宋" w:eastAsia="仿宋" w:cs="仿宋"/>
          <w:color w:val="000000"/>
          <w:sz w:val="28"/>
          <w:szCs w:val="144"/>
          <w:lang w:val="en-US" w:eastAsia="zh-CN"/>
        </w:rPr>
        <w:fldChar w:fldCharType="separate"/>
      </w:r>
      <w:r>
        <w:rPr>
          <w:rFonts w:hint="eastAsia" w:ascii="仿宋_GB2312" w:hAnsi="仿宋_GB2312" w:eastAsia="仿宋_GB2312" w:cs="仿宋_GB2312"/>
          <w:bCs/>
          <w:i w:val="0"/>
          <w:iCs w:val="0"/>
          <w:caps w:val="0"/>
          <w:color w:val="000000"/>
          <w:spacing w:val="0"/>
          <w:kern w:val="0"/>
          <w:sz w:val="28"/>
          <w:szCs w:val="44"/>
          <w:shd w:val="clear" w:color="auto" w:fill="FFFFFF"/>
          <w:lang w:val="en-US" w:eastAsia="zh-CN" w:bidi="ar"/>
        </w:rPr>
        <w:t>（十二）树立湄洲岛建设新标杆</w:t>
      </w:r>
      <w:r>
        <w:rPr>
          <w:color w:val="000000"/>
          <w:sz w:val="28"/>
          <w:szCs w:val="36"/>
        </w:rPr>
        <w:tab/>
      </w:r>
      <w:r>
        <w:rPr>
          <w:rFonts w:hint="eastAsia" w:ascii="仿宋_GB2312" w:hAnsi="仿宋_GB2312" w:eastAsia="仿宋_GB2312" w:cs="仿宋_GB2312"/>
          <w:color w:val="000000"/>
          <w:sz w:val="28"/>
          <w:szCs w:val="36"/>
        </w:rPr>
        <w:fldChar w:fldCharType="begin"/>
      </w:r>
      <w:r>
        <w:rPr>
          <w:rFonts w:hint="eastAsia" w:ascii="仿宋_GB2312" w:hAnsi="仿宋_GB2312" w:eastAsia="仿宋_GB2312" w:cs="仿宋_GB2312"/>
          <w:color w:val="000000"/>
          <w:sz w:val="28"/>
          <w:szCs w:val="36"/>
        </w:rPr>
        <w:instrText xml:space="preserve"> PAGEREF _Toc12266 \h </w:instrText>
      </w:r>
      <w:r>
        <w:rPr>
          <w:rFonts w:hint="eastAsia" w:ascii="仿宋_GB2312" w:hAnsi="仿宋_GB2312" w:eastAsia="仿宋_GB2312" w:cs="仿宋_GB2312"/>
          <w:color w:val="000000"/>
          <w:sz w:val="28"/>
          <w:szCs w:val="36"/>
        </w:rPr>
        <w:fldChar w:fldCharType="separate"/>
      </w:r>
      <w:r>
        <w:rPr>
          <w:rFonts w:hint="eastAsia" w:ascii="仿宋_GB2312" w:hAnsi="仿宋_GB2312" w:eastAsia="仿宋_GB2312" w:cs="仿宋_GB2312"/>
          <w:color w:val="000000"/>
          <w:sz w:val="28"/>
          <w:szCs w:val="36"/>
        </w:rPr>
        <w:t>- 23 -</w:t>
      </w:r>
      <w:r>
        <w:rPr>
          <w:rFonts w:hint="eastAsia" w:ascii="仿宋_GB2312" w:hAnsi="仿宋_GB2312" w:eastAsia="仿宋_GB2312" w:cs="仿宋_GB2312"/>
          <w:color w:val="000000"/>
          <w:sz w:val="28"/>
          <w:szCs w:val="36"/>
        </w:rPr>
        <w:fldChar w:fldCharType="end"/>
      </w:r>
      <w:r>
        <w:rPr>
          <w:rFonts w:hint="eastAsia" w:ascii="仿宋" w:hAnsi="仿宋" w:eastAsia="仿宋" w:cs="仿宋"/>
          <w:color w:val="000000"/>
          <w:sz w:val="28"/>
          <w:szCs w:val="144"/>
          <w:lang w:val="en-US" w:eastAsia="zh-CN"/>
        </w:rPr>
        <w:fldChar w:fldCharType="end"/>
      </w:r>
    </w:p>
    <w:p>
      <w:pPr>
        <w:pStyle w:val="8"/>
        <w:shd w:val="clear"/>
        <w:tabs>
          <w:tab w:val="right" w:leader="dot" w:pos="8306"/>
        </w:tabs>
        <w:spacing w:line="460" w:lineRule="exact"/>
        <w:rPr>
          <w:color w:val="000000"/>
          <w:sz w:val="28"/>
          <w:szCs w:val="36"/>
        </w:rPr>
      </w:pPr>
      <w:r>
        <w:rPr>
          <w:rFonts w:hint="eastAsia" w:ascii="仿宋" w:hAnsi="仿宋" w:eastAsia="仿宋" w:cs="仿宋"/>
          <w:color w:val="000000"/>
          <w:sz w:val="28"/>
          <w:szCs w:val="144"/>
          <w:lang w:val="en-US" w:eastAsia="zh-CN"/>
        </w:rPr>
        <w:fldChar w:fldCharType="begin"/>
      </w:r>
      <w:r>
        <w:rPr>
          <w:rFonts w:hint="eastAsia" w:ascii="仿宋" w:hAnsi="仿宋" w:eastAsia="仿宋" w:cs="仿宋"/>
          <w:color w:val="000000"/>
          <w:sz w:val="28"/>
          <w:szCs w:val="144"/>
          <w:lang w:val="en-US" w:eastAsia="zh-CN"/>
        </w:rPr>
        <w:instrText xml:space="preserve"> HYPERLINK \l _Toc30456 </w:instrText>
      </w:r>
      <w:r>
        <w:rPr>
          <w:rFonts w:hint="eastAsia" w:ascii="仿宋" w:hAnsi="仿宋" w:eastAsia="仿宋" w:cs="仿宋"/>
          <w:color w:val="000000"/>
          <w:sz w:val="28"/>
          <w:szCs w:val="144"/>
          <w:lang w:val="en-US" w:eastAsia="zh-CN"/>
        </w:rPr>
        <w:fldChar w:fldCharType="separate"/>
      </w:r>
      <w:r>
        <w:rPr>
          <w:rFonts w:hint="eastAsia" w:ascii="仿宋_GB2312" w:hAnsi="仿宋_GB2312" w:eastAsia="仿宋_GB2312" w:cs="仿宋_GB2312"/>
          <w:bCs/>
          <w:i w:val="0"/>
          <w:iCs w:val="0"/>
          <w:caps w:val="0"/>
          <w:color w:val="000000"/>
          <w:spacing w:val="0"/>
          <w:kern w:val="0"/>
          <w:sz w:val="28"/>
          <w:szCs w:val="44"/>
          <w:shd w:val="clear" w:color="auto" w:fill="FFFFFF"/>
          <w:lang w:val="en-US" w:eastAsia="zh-CN" w:bidi="ar"/>
        </w:rPr>
        <w:t>（十三）创建山清水秀美丽城市</w:t>
      </w:r>
      <w:r>
        <w:rPr>
          <w:color w:val="000000"/>
          <w:sz w:val="28"/>
          <w:szCs w:val="36"/>
        </w:rPr>
        <w:tab/>
      </w:r>
      <w:r>
        <w:rPr>
          <w:rFonts w:hint="eastAsia" w:ascii="仿宋_GB2312" w:hAnsi="仿宋_GB2312" w:eastAsia="仿宋_GB2312" w:cs="仿宋_GB2312"/>
          <w:color w:val="000000"/>
          <w:sz w:val="28"/>
          <w:szCs w:val="36"/>
        </w:rPr>
        <w:fldChar w:fldCharType="begin"/>
      </w:r>
      <w:r>
        <w:rPr>
          <w:rFonts w:hint="eastAsia" w:ascii="仿宋_GB2312" w:hAnsi="仿宋_GB2312" w:eastAsia="仿宋_GB2312" w:cs="仿宋_GB2312"/>
          <w:color w:val="000000"/>
          <w:sz w:val="28"/>
          <w:szCs w:val="36"/>
        </w:rPr>
        <w:instrText xml:space="preserve"> PAGEREF _Toc30456 \h </w:instrText>
      </w:r>
      <w:r>
        <w:rPr>
          <w:rFonts w:hint="eastAsia" w:ascii="仿宋_GB2312" w:hAnsi="仿宋_GB2312" w:eastAsia="仿宋_GB2312" w:cs="仿宋_GB2312"/>
          <w:color w:val="000000"/>
          <w:sz w:val="28"/>
          <w:szCs w:val="36"/>
        </w:rPr>
        <w:fldChar w:fldCharType="separate"/>
      </w:r>
      <w:r>
        <w:rPr>
          <w:rFonts w:hint="eastAsia" w:ascii="仿宋_GB2312" w:hAnsi="仿宋_GB2312" w:eastAsia="仿宋_GB2312" w:cs="仿宋_GB2312"/>
          <w:color w:val="000000"/>
          <w:sz w:val="28"/>
          <w:szCs w:val="36"/>
        </w:rPr>
        <w:t>- 24 -</w:t>
      </w:r>
      <w:r>
        <w:rPr>
          <w:rFonts w:hint="eastAsia" w:ascii="仿宋_GB2312" w:hAnsi="仿宋_GB2312" w:eastAsia="仿宋_GB2312" w:cs="仿宋_GB2312"/>
          <w:color w:val="000000"/>
          <w:sz w:val="28"/>
          <w:szCs w:val="36"/>
        </w:rPr>
        <w:fldChar w:fldCharType="end"/>
      </w:r>
      <w:r>
        <w:rPr>
          <w:rFonts w:hint="eastAsia" w:ascii="仿宋" w:hAnsi="仿宋" w:eastAsia="仿宋" w:cs="仿宋"/>
          <w:color w:val="000000"/>
          <w:sz w:val="28"/>
          <w:szCs w:val="144"/>
          <w:lang w:val="en-US" w:eastAsia="zh-CN"/>
        </w:rPr>
        <w:fldChar w:fldCharType="end"/>
      </w:r>
    </w:p>
    <w:p>
      <w:pPr>
        <w:pStyle w:val="8"/>
        <w:shd w:val="clear"/>
        <w:tabs>
          <w:tab w:val="right" w:leader="dot" w:pos="8306"/>
        </w:tabs>
        <w:spacing w:line="460" w:lineRule="exact"/>
        <w:rPr>
          <w:rFonts w:hint="eastAsia" w:ascii="仿宋_GB2312" w:hAnsi="仿宋_GB2312" w:eastAsia="仿宋_GB2312" w:cs="仿宋_GB2312"/>
          <w:color w:val="000000"/>
          <w:sz w:val="28"/>
          <w:szCs w:val="36"/>
        </w:rPr>
      </w:pPr>
      <w:r>
        <w:rPr>
          <w:rFonts w:hint="eastAsia" w:ascii="仿宋_GB2312" w:hAnsi="仿宋_GB2312" w:eastAsia="仿宋_GB2312" w:cs="仿宋_GB2312"/>
          <w:color w:val="000000"/>
          <w:sz w:val="28"/>
          <w:szCs w:val="144"/>
          <w:lang w:val="en-US" w:eastAsia="zh-CN"/>
        </w:rPr>
        <w:fldChar w:fldCharType="begin"/>
      </w:r>
      <w:r>
        <w:rPr>
          <w:rFonts w:hint="eastAsia" w:ascii="仿宋_GB2312" w:hAnsi="仿宋_GB2312" w:eastAsia="仿宋_GB2312" w:cs="仿宋_GB2312"/>
          <w:color w:val="000000"/>
          <w:sz w:val="28"/>
          <w:szCs w:val="144"/>
          <w:lang w:val="en-US" w:eastAsia="zh-CN"/>
        </w:rPr>
        <w:instrText xml:space="preserve"> HYPERLINK \l _Toc10066 </w:instrText>
      </w:r>
      <w:r>
        <w:rPr>
          <w:rFonts w:hint="eastAsia" w:ascii="仿宋_GB2312" w:hAnsi="仿宋_GB2312" w:eastAsia="仿宋_GB2312" w:cs="仿宋_GB2312"/>
          <w:color w:val="000000"/>
          <w:sz w:val="28"/>
          <w:szCs w:val="144"/>
          <w:lang w:val="en-US" w:eastAsia="zh-CN"/>
        </w:rPr>
        <w:fldChar w:fldCharType="separate"/>
      </w:r>
      <w:r>
        <w:rPr>
          <w:rFonts w:hint="eastAsia" w:ascii="仿宋_GB2312" w:hAnsi="仿宋_GB2312" w:eastAsia="仿宋_GB2312" w:cs="仿宋_GB2312"/>
          <w:bCs/>
          <w:i w:val="0"/>
          <w:iCs w:val="0"/>
          <w:caps w:val="0"/>
          <w:color w:val="000000"/>
          <w:spacing w:val="0"/>
          <w:kern w:val="0"/>
          <w:sz w:val="28"/>
          <w:szCs w:val="44"/>
          <w:shd w:val="clear" w:color="auto" w:fill="FFFFFF"/>
          <w:lang w:val="en-US" w:eastAsia="zh-CN" w:bidi="ar"/>
        </w:rPr>
        <w:t>（十四）擘画业兴绿盈美丽乡村</w:t>
      </w:r>
      <w:r>
        <w:rPr>
          <w:rFonts w:hint="eastAsia" w:ascii="仿宋_GB2312" w:hAnsi="仿宋_GB2312" w:eastAsia="仿宋_GB2312" w:cs="仿宋_GB2312"/>
          <w:color w:val="000000"/>
          <w:sz w:val="28"/>
          <w:szCs w:val="36"/>
        </w:rPr>
        <w:tab/>
      </w:r>
      <w:r>
        <w:rPr>
          <w:rFonts w:hint="eastAsia" w:ascii="仿宋_GB2312" w:hAnsi="仿宋_GB2312" w:eastAsia="仿宋_GB2312" w:cs="仿宋_GB2312"/>
          <w:color w:val="000000"/>
          <w:sz w:val="28"/>
          <w:szCs w:val="36"/>
        </w:rPr>
        <w:fldChar w:fldCharType="begin"/>
      </w:r>
      <w:r>
        <w:rPr>
          <w:rFonts w:hint="eastAsia" w:ascii="仿宋_GB2312" w:hAnsi="仿宋_GB2312" w:eastAsia="仿宋_GB2312" w:cs="仿宋_GB2312"/>
          <w:color w:val="000000"/>
          <w:sz w:val="28"/>
          <w:szCs w:val="36"/>
        </w:rPr>
        <w:instrText xml:space="preserve"> PAGEREF _Toc10066 \h </w:instrText>
      </w:r>
      <w:r>
        <w:rPr>
          <w:rFonts w:hint="eastAsia" w:ascii="仿宋_GB2312" w:hAnsi="仿宋_GB2312" w:eastAsia="仿宋_GB2312" w:cs="仿宋_GB2312"/>
          <w:color w:val="000000"/>
          <w:sz w:val="28"/>
          <w:szCs w:val="36"/>
        </w:rPr>
        <w:fldChar w:fldCharType="separate"/>
      </w:r>
      <w:r>
        <w:rPr>
          <w:rFonts w:hint="eastAsia" w:ascii="仿宋_GB2312" w:hAnsi="仿宋_GB2312" w:eastAsia="仿宋_GB2312" w:cs="仿宋_GB2312"/>
          <w:color w:val="000000"/>
          <w:sz w:val="28"/>
          <w:szCs w:val="36"/>
        </w:rPr>
        <w:t>- 25 -</w:t>
      </w:r>
      <w:r>
        <w:rPr>
          <w:rFonts w:hint="eastAsia" w:ascii="仿宋_GB2312" w:hAnsi="仿宋_GB2312" w:eastAsia="仿宋_GB2312" w:cs="仿宋_GB2312"/>
          <w:color w:val="000000"/>
          <w:sz w:val="28"/>
          <w:szCs w:val="36"/>
        </w:rPr>
        <w:fldChar w:fldCharType="end"/>
      </w:r>
      <w:r>
        <w:rPr>
          <w:rFonts w:hint="eastAsia" w:ascii="仿宋_GB2312" w:hAnsi="仿宋_GB2312" w:eastAsia="仿宋_GB2312" w:cs="仿宋_GB2312"/>
          <w:color w:val="000000"/>
          <w:sz w:val="28"/>
          <w:szCs w:val="144"/>
          <w:lang w:val="en-US" w:eastAsia="zh-CN"/>
        </w:rPr>
        <w:fldChar w:fldCharType="end"/>
      </w:r>
    </w:p>
    <w:p>
      <w:pPr>
        <w:pStyle w:val="8"/>
        <w:shd w:val="clear"/>
        <w:tabs>
          <w:tab w:val="right" w:leader="dot" w:pos="8306"/>
        </w:tabs>
        <w:spacing w:line="460" w:lineRule="exact"/>
        <w:rPr>
          <w:rFonts w:hint="eastAsia" w:ascii="仿宋_GB2312" w:hAnsi="仿宋_GB2312" w:eastAsia="仿宋_GB2312" w:cs="仿宋_GB2312"/>
          <w:color w:val="000000"/>
          <w:sz w:val="28"/>
          <w:szCs w:val="36"/>
        </w:rPr>
      </w:pPr>
      <w:r>
        <w:rPr>
          <w:rFonts w:hint="eastAsia" w:ascii="仿宋_GB2312" w:hAnsi="仿宋_GB2312" w:eastAsia="仿宋_GB2312" w:cs="仿宋_GB2312"/>
          <w:color w:val="000000"/>
          <w:sz w:val="28"/>
          <w:szCs w:val="144"/>
          <w:lang w:val="en-US" w:eastAsia="zh-CN"/>
        </w:rPr>
        <w:fldChar w:fldCharType="begin"/>
      </w:r>
      <w:r>
        <w:rPr>
          <w:rFonts w:hint="eastAsia" w:ascii="仿宋_GB2312" w:hAnsi="仿宋_GB2312" w:eastAsia="仿宋_GB2312" w:cs="仿宋_GB2312"/>
          <w:color w:val="000000"/>
          <w:sz w:val="28"/>
          <w:szCs w:val="144"/>
          <w:lang w:val="en-US" w:eastAsia="zh-CN"/>
        </w:rPr>
        <w:instrText xml:space="preserve"> HYPERLINK \l _Toc10919 </w:instrText>
      </w:r>
      <w:r>
        <w:rPr>
          <w:rFonts w:hint="eastAsia" w:ascii="仿宋_GB2312" w:hAnsi="仿宋_GB2312" w:eastAsia="仿宋_GB2312" w:cs="仿宋_GB2312"/>
          <w:color w:val="000000"/>
          <w:sz w:val="28"/>
          <w:szCs w:val="144"/>
          <w:lang w:val="en-US" w:eastAsia="zh-CN"/>
        </w:rPr>
        <w:fldChar w:fldCharType="separate"/>
      </w:r>
      <w:r>
        <w:rPr>
          <w:rFonts w:hint="eastAsia" w:ascii="仿宋_GB2312" w:hAnsi="仿宋_GB2312" w:eastAsia="仿宋_GB2312" w:cs="仿宋_GB2312"/>
          <w:bCs/>
          <w:i w:val="0"/>
          <w:iCs w:val="0"/>
          <w:caps w:val="0"/>
          <w:color w:val="000000"/>
          <w:spacing w:val="0"/>
          <w:kern w:val="0"/>
          <w:sz w:val="28"/>
          <w:szCs w:val="44"/>
          <w:shd w:val="clear" w:color="auto" w:fill="FFFFFF"/>
          <w:lang w:val="en-US" w:eastAsia="zh-CN" w:bidi="ar"/>
        </w:rPr>
        <w:t>（十五）开展全民行动</w:t>
      </w:r>
      <w:r>
        <w:rPr>
          <w:rFonts w:hint="eastAsia" w:ascii="仿宋_GB2312" w:hAnsi="仿宋_GB2312" w:eastAsia="仿宋_GB2312" w:cs="仿宋_GB2312"/>
          <w:color w:val="000000"/>
          <w:sz w:val="28"/>
          <w:szCs w:val="36"/>
        </w:rPr>
        <w:tab/>
      </w:r>
      <w:r>
        <w:rPr>
          <w:rFonts w:hint="eastAsia" w:ascii="仿宋_GB2312" w:hAnsi="仿宋_GB2312" w:eastAsia="仿宋_GB2312" w:cs="仿宋_GB2312"/>
          <w:color w:val="000000"/>
          <w:sz w:val="28"/>
          <w:szCs w:val="36"/>
        </w:rPr>
        <w:fldChar w:fldCharType="begin"/>
      </w:r>
      <w:r>
        <w:rPr>
          <w:rFonts w:hint="eastAsia" w:ascii="仿宋_GB2312" w:hAnsi="仿宋_GB2312" w:eastAsia="仿宋_GB2312" w:cs="仿宋_GB2312"/>
          <w:color w:val="000000"/>
          <w:sz w:val="28"/>
          <w:szCs w:val="36"/>
        </w:rPr>
        <w:instrText xml:space="preserve"> PAGEREF _Toc10919 \h </w:instrText>
      </w:r>
      <w:r>
        <w:rPr>
          <w:rFonts w:hint="eastAsia" w:ascii="仿宋_GB2312" w:hAnsi="仿宋_GB2312" w:eastAsia="仿宋_GB2312" w:cs="仿宋_GB2312"/>
          <w:color w:val="000000"/>
          <w:sz w:val="28"/>
          <w:szCs w:val="36"/>
        </w:rPr>
        <w:fldChar w:fldCharType="separate"/>
      </w:r>
      <w:r>
        <w:rPr>
          <w:rFonts w:hint="eastAsia" w:ascii="仿宋_GB2312" w:hAnsi="仿宋_GB2312" w:eastAsia="仿宋_GB2312" w:cs="仿宋_GB2312"/>
          <w:color w:val="000000"/>
          <w:sz w:val="28"/>
          <w:szCs w:val="36"/>
        </w:rPr>
        <w:t>- 25 -</w:t>
      </w:r>
      <w:r>
        <w:rPr>
          <w:rFonts w:hint="eastAsia" w:ascii="仿宋_GB2312" w:hAnsi="仿宋_GB2312" w:eastAsia="仿宋_GB2312" w:cs="仿宋_GB2312"/>
          <w:color w:val="000000"/>
          <w:sz w:val="28"/>
          <w:szCs w:val="36"/>
        </w:rPr>
        <w:fldChar w:fldCharType="end"/>
      </w:r>
      <w:r>
        <w:rPr>
          <w:rFonts w:hint="eastAsia" w:ascii="仿宋_GB2312" w:hAnsi="仿宋_GB2312" w:eastAsia="仿宋_GB2312" w:cs="仿宋_GB2312"/>
          <w:color w:val="000000"/>
          <w:sz w:val="28"/>
          <w:szCs w:val="144"/>
          <w:lang w:val="en-US" w:eastAsia="zh-CN"/>
        </w:rPr>
        <w:fldChar w:fldCharType="end"/>
      </w:r>
    </w:p>
    <w:p>
      <w:pPr>
        <w:pStyle w:val="7"/>
        <w:shd w:val="clear"/>
        <w:tabs>
          <w:tab w:val="right" w:leader="dot" w:pos="8306"/>
        </w:tabs>
        <w:spacing w:line="460" w:lineRule="exact"/>
        <w:rPr>
          <w:color w:val="000000"/>
          <w:sz w:val="28"/>
          <w:szCs w:val="36"/>
        </w:rPr>
      </w:pPr>
      <w:r>
        <w:rPr>
          <w:rFonts w:hint="eastAsia" w:ascii="仿宋" w:hAnsi="仿宋" w:eastAsia="仿宋" w:cs="仿宋"/>
          <w:color w:val="000000"/>
          <w:sz w:val="28"/>
          <w:szCs w:val="144"/>
          <w:lang w:val="en-US" w:eastAsia="zh-CN"/>
        </w:rPr>
        <w:fldChar w:fldCharType="begin"/>
      </w:r>
      <w:r>
        <w:rPr>
          <w:rFonts w:hint="eastAsia" w:ascii="仿宋" w:hAnsi="仿宋" w:eastAsia="仿宋" w:cs="仿宋"/>
          <w:color w:val="000000"/>
          <w:sz w:val="28"/>
          <w:szCs w:val="144"/>
          <w:lang w:val="en-US" w:eastAsia="zh-CN"/>
        </w:rPr>
        <w:instrText xml:space="preserve"> HYPERLINK \l _Toc13487 </w:instrText>
      </w:r>
      <w:r>
        <w:rPr>
          <w:rFonts w:hint="eastAsia" w:ascii="仿宋" w:hAnsi="仿宋" w:eastAsia="仿宋" w:cs="仿宋"/>
          <w:color w:val="000000"/>
          <w:sz w:val="28"/>
          <w:szCs w:val="144"/>
          <w:lang w:val="en-US" w:eastAsia="zh-CN"/>
        </w:rPr>
        <w:fldChar w:fldCharType="separate"/>
      </w:r>
      <w:r>
        <w:rPr>
          <w:rFonts w:hint="eastAsia" w:ascii="黑体" w:hAnsi="黑体" w:eastAsia="黑体" w:cs="黑体"/>
          <w:bCs/>
          <w:i w:val="0"/>
          <w:iCs w:val="0"/>
          <w:caps w:val="0"/>
          <w:color w:val="000000"/>
          <w:spacing w:val="0"/>
          <w:kern w:val="0"/>
          <w:sz w:val="28"/>
          <w:szCs w:val="44"/>
          <w:shd w:val="clear" w:color="auto" w:fill="FFFFFF"/>
          <w:lang w:val="en-US" w:eastAsia="zh-CN" w:bidi="ar"/>
        </w:rPr>
        <w:t>五、组织保障</w:t>
      </w:r>
      <w:r>
        <w:rPr>
          <w:rFonts w:ascii="等线" w:hAnsi="Times New Roman" w:eastAsia="等线" w:cs="Times New Roman"/>
          <w:snapToGrid/>
          <w:color w:val="000000"/>
          <w:kern w:val="2"/>
          <w:sz w:val="28"/>
          <w:szCs w:val="36"/>
          <w:lang w:val="en-US" w:eastAsia="zh-CN" w:bidi="ar-SA"/>
        </w:rPr>
        <w:tab/>
      </w:r>
      <w:r>
        <w:rPr>
          <w:rFonts w:hint="eastAsia" w:ascii="仿宋_GB2312" w:hAnsi="仿宋_GB2312" w:eastAsia="仿宋_GB2312" w:cs="仿宋_GB2312"/>
          <w:snapToGrid/>
          <w:color w:val="000000"/>
          <w:kern w:val="2"/>
          <w:sz w:val="28"/>
          <w:szCs w:val="36"/>
          <w:lang w:val="en-US" w:eastAsia="zh-CN" w:bidi="ar-SA"/>
        </w:rPr>
        <w:fldChar w:fldCharType="begin"/>
      </w:r>
      <w:r>
        <w:rPr>
          <w:rFonts w:hint="eastAsia" w:ascii="仿宋_GB2312" w:hAnsi="仿宋_GB2312" w:eastAsia="仿宋_GB2312" w:cs="仿宋_GB2312"/>
          <w:snapToGrid/>
          <w:color w:val="000000"/>
          <w:kern w:val="2"/>
          <w:sz w:val="28"/>
          <w:szCs w:val="36"/>
          <w:lang w:val="en-US" w:eastAsia="zh-CN" w:bidi="ar-SA"/>
        </w:rPr>
        <w:instrText xml:space="preserve"> PAGEREF _Toc13487 \h </w:instrText>
      </w:r>
      <w:r>
        <w:rPr>
          <w:rFonts w:hint="eastAsia" w:ascii="仿宋_GB2312" w:hAnsi="仿宋_GB2312" w:eastAsia="仿宋_GB2312" w:cs="仿宋_GB2312"/>
          <w:snapToGrid/>
          <w:color w:val="000000"/>
          <w:kern w:val="2"/>
          <w:sz w:val="28"/>
          <w:szCs w:val="36"/>
          <w:lang w:val="en-US" w:eastAsia="zh-CN" w:bidi="ar-SA"/>
        </w:rPr>
        <w:fldChar w:fldCharType="separate"/>
      </w:r>
      <w:r>
        <w:rPr>
          <w:rFonts w:hint="eastAsia" w:ascii="仿宋_GB2312" w:hAnsi="仿宋_GB2312" w:eastAsia="仿宋_GB2312" w:cs="仿宋_GB2312"/>
          <w:snapToGrid/>
          <w:color w:val="000000"/>
          <w:kern w:val="2"/>
          <w:sz w:val="28"/>
          <w:szCs w:val="36"/>
          <w:lang w:val="en-US" w:eastAsia="zh-CN" w:bidi="ar-SA"/>
        </w:rPr>
        <w:t>- 30 -</w:t>
      </w:r>
      <w:r>
        <w:rPr>
          <w:rFonts w:hint="eastAsia" w:ascii="仿宋_GB2312" w:hAnsi="仿宋_GB2312" w:eastAsia="仿宋_GB2312" w:cs="仿宋_GB2312"/>
          <w:snapToGrid/>
          <w:color w:val="000000"/>
          <w:kern w:val="2"/>
          <w:sz w:val="28"/>
          <w:szCs w:val="36"/>
          <w:lang w:val="en-US" w:eastAsia="zh-CN" w:bidi="ar-SA"/>
        </w:rPr>
        <w:fldChar w:fldCharType="end"/>
      </w:r>
      <w:r>
        <w:rPr>
          <w:rFonts w:hint="eastAsia" w:ascii="仿宋" w:hAnsi="仿宋" w:eastAsia="仿宋" w:cs="仿宋"/>
          <w:color w:val="000000"/>
          <w:sz w:val="28"/>
          <w:szCs w:val="144"/>
          <w:lang w:val="en-US" w:eastAsia="zh-CN"/>
        </w:rPr>
        <w:fldChar w:fldCharType="end"/>
      </w:r>
    </w:p>
    <w:p>
      <w:pPr>
        <w:pStyle w:val="8"/>
        <w:shd w:val="clear"/>
        <w:tabs>
          <w:tab w:val="right" w:leader="dot" w:pos="8306"/>
        </w:tabs>
        <w:spacing w:line="460" w:lineRule="exact"/>
        <w:rPr>
          <w:color w:val="000000"/>
          <w:sz w:val="28"/>
          <w:szCs w:val="36"/>
        </w:rPr>
      </w:pPr>
      <w:r>
        <w:rPr>
          <w:rFonts w:hint="eastAsia" w:ascii="仿宋" w:hAnsi="仿宋" w:eastAsia="仿宋" w:cs="仿宋"/>
          <w:color w:val="000000"/>
          <w:sz w:val="28"/>
          <w:szCs w:val="144"/>
          <w:lang w:val="en-US" w:eastAsia="zh-CN"/>
        </w:rPr>
        <w:fldChar w:fldCharType="begin"/>
      </w:r>
      <w:r>
        <w:rPr>
          <w:rFonts w:hint="eastAsia" w:ascii="仿宋" w:hAnsi="仿宋" w:eastAsia="仿宋" w:cs="仿宋"/>
          <w:color w:val="000000"/>
          <w:sz w:val="28"/>
          <w:szCs w:val="144"/>
          <w:lang w:val="en-US" w:eastAsia="zh-CN"/>
        </w:rPr>
        <w:instrText xml:space="preserve"> HYPERLINK \l _Toc9965 </w:instrText>
      </w:r>
      <w:r>
        <w:rPr>
          <w:rFonts w:hint="eastAsia" w:ascii="仿宋" w:hAnsi="仿宋" w:eastAsia="仿宋" w:cs="仿宋"/>
          <w:color w:val="000000"/>
          <w:sz w:val="28"/>
          <w:szCs w:val="144"/>
          <w:lang w:val="en-US" w:eastAsia="zh-CN"/>
        </w:rPr>
        <w:fldChar w:fldCharType="separate"/>
      </w:r>
      <w:r>
        <w:rPr>
          <w:rFonts w:hint="eastAsia" w:ascii="仿宋_GB2312" w:hAnsi="仿宋_GB2312" w:eastAsia="仿宋_GB2312" w:cs="仿宋_GB2312"/>
          <w:bCs/>
          <w:i w:val="0"/>
          <w:iCs w:val="0"/>
          <w:caps w:val="0"/>
          <w:color w:val="000000"/>
          <w:spacing w:val="0"/>
          <w:kern w:val="0"/>
          <w:sz w:val="28"/>
          <w:szCs w:val="44"/>
          <w:shd w:val="clear" w:color="auto" w:fill="FFFFFF"/>
          <w:lang w:val="en-US" w:eastAsia="zh-CN" w:bidi="ar"/>
        </w:rPr>
        <w:t>（十六）加强组织领导</w:t>
      </w:r>
      <w:r>
        <w:rPr>
          <w:color w:val="000000"/>
          <w:sz w:val="28"/>
          <w:szCs w:val="36"/>
        </w:rPr>
        <w:tab/>
      </w:r>
      <w:r>
        <w:rPr>
          <w:rFonts w:hint="eastAsia" w:ascii="仿宋_GB2312" w:hAnsi="仿宋_GB2312" w:eastAsia="仿宋_GB2312" w:cs="仿宋_GB2312"/>
          <w:color w:val="000000"/>
          <w:sz w:val="28"/>
          <w:szCs w:val="36"/>
        </w:rPr>
        <w:fldChar w:fldCharType="begin"/>
      </w:r>
      <w:r>
        <w:rPr>
          <w:rFonts w:hint="eastAsia" w:ascii="仿宋_GB2312" w:hAnsi="仿宋_GB2312" w:eastAsia="仿宋_GB2312" w:cs="仿宋_GB2312"/>
          <w:color w:val="000000"/>
          <w:sz w:val="28"/>
          <w:szCs w:val="36"/>
        </w:rPr>
        <w:instrText xml:space="preserve"> PAGEREF _Toc9965 \h </w:instrText>
      </w:r>
      <w:r>
        <w:rPr>
          <w:rFonts w:hint="eastAsia" w:ascii="仿宋_GB2312" w:hAnsi="仿宋_GB2312" w:eastAsia="仿宋_GB2312" w:cs="仿宋_GB2312"/>
          <w:color w:val="000000"/>
          <w:sz w:val="28"/>
          <w:szCs w:val="36"/>
        </w:rPr>
        <w:fldChar w:fldCharType="separate"/>
      </w:r>
      <w:r>
        <w:rPr>
          <w:rFonts w:hint="eastAsia" w:ascii="仿宋_GB2312" w:hAnsi="仿宋_GB2312" w:eastAsia="仿宋_GB2312" w:cs="仿宋_GB2312"/>
          <w:color w:val="000000"/>
          <w:sz w:val="28"/>
          <w:szCs w:val="36"/>
        </w:rPr>
        <w:t>- 30 -</w:t>
      </w:r>
      <w:r>
        <w:rPr>
          <w:rFonts w:hint="eastAsia" w:ascii="仿宋_GB2312" w:hAnsi="仿宋_GB2312" w:eastAsia="仿宋_GB2312" w:cs="仿宋_GB2312"/>
          <w:color w:val="000000"/>
          <w:sz w:val="28"/>
          <w:szCs w:val="36"/>
        </w:rPr>
        <w:fldChar w:fldCharType="end"/>
      </w:r>
      <w:r>
        <w:rPr>
          <w:rFonts w:hint="eastAsia" w:ascii="仿宋" w:hAnsi="仿宋" w:eastAsia="仿宋" w:cs="仿宋"/>
          <w:color w:val="000000"/>
          <w:sz w:val="28"/>
          <w:szCs w:val="144"/>
          <w:lang w:val="en-US" w:eastAsia="zh-CN"/>
        </w:rPr>
        <w:fldChar w:fldCharType="end"/>
      </w:r>
    </w:p>
    <w:p>
      <w:pPr>
        <w:pStyle w:val="8"/>
        <w:shd w:val="clear"/>
        <w:tabs>
          <w:tab w:val="right" w:leader="dot" w:pos="8306"/>
        </w:tabs>
        <w:spacing w:line="460" w:lineRule="exact"/>
        <w:rPr>
          <w:color w:val="000000"/>
          <w:sz w:val="28"/>
          <w:szCs w:val="36"/>
        </w:rPr>
      </w:pPr>
      <w:r>
        <w:rPr>
          <w:rFonts w:hint="eastAsia" w:ascii="仿宋" w:hAnsi="仿宋" w:eastAsia="仿宋" w:cs="仿宋"/>
          <w:color w:val="000000"/>
          <w:sz w:val="28"/>
          <w:szCs w:val="144"/>
          <w:lang w:val="en-US" w:eastAsia="zh-CN"/>
        </w:rPr>
        <w:fldChar w:fldCharType="begin"/>
      </w:r>
      <w:r>
        <w:rPr>
          <w:rFonts w:hint="eastAsia" w:ascii="仿宋" w:hAnsi="仿宋" w:eastAsia="仿宋" w:cs="仿宋"/>
          <w:color w:val="000000"/>
          <w:sz w:val="28"/>
          <w:szCs w:val="144"/>
          <w:lang w:val="en-US" w:eastAsia="zh-CN"/>
        </w:rPr>
        <w:instrText xml:space="preserve"> HYPERLINK \l _Toc31199 </w:instrText>
      </w:r>
      <w:r>
        <w:rPr>
          <w:rFonts w:hint="eastAsia" w:ascii="仿宋" w:hAnsi="仿宋" w:eastAsia="仿宋" w:cs="仿宋"/>
          <w:color w:val="000000"/>
          <w:sz w:val="28"/>
          <w:szCs w:val="144"/>
          <w:lang w:val="en-US" w:eastAsia="zh-CN"/>
        </w:rPr>
        <w:fldChar w:fldCharType="separate"/>
      </w:r>
      <w:r>
        <w:rPr>
          <w:rFonts w:hint="eastAsia" w:ascii="仿宋_GB2312" w:hAnsi="仿宋_GB2312" w:eastAsia="仿宋_GB2312" w:cs="仿宋_GB2312"/>
          <w:bCs/>
          <w:i w:val="0"/>
          <w:iCs w:val="0"/>
          <w:caps w:val="0"/>
          <w:color w:val="000000"/>
          <w:spacing w:val="0"/>
          <w:kern w:val="0"/>
          <w:sz w:val="28"/>
          <w:szCs w:val="44"/>
          <w:shd w:val="clear" w:color="auto" w:fill="FFFFFF"/>
          <w:lang w:val="en-US" w:eastAsia="zh-CN" w:bidi="ar"/>
        </w:rPr>
        <w:t>（十七）</w:t>
      </w:r>
      <w:r>
        <w:rPr>
          <w:rFonts w:hint="default" w:ascii="仿宋_GB2312" w:hAnsi="仿宋_GB2312" w:eastAsia="仿宋_GB2312" w:cs="仿宋_GB2312"/>
          <w:bCs/>
          <w:i w:val="0"/>
          <w:iCs w:val="0"/>
          <w:caps w:val="0"/>
          <w:color w:val="000000"/>
          <w:spacing w:val="0"/>
          <w:kern w:val="0"/>
          <w:sz w:val="28"/>
          <w:szCs w:val="44"/>
          <w:shd w:val="clear" w:color="auto" w:fill="FFFFFF"/>
          <w:lang w:val="en-US" w:eastAsia="zh-CN" w:bidi="ar"/>
        </w:rPr>
        <w:t>完善推进机制</w:t>
      </w:r>
      <w:r>
        <w:rPr>
          <w:color w:val="000000"/>
          <w:sz w:val="28"/>
          <w:szCs w:val="36"/>
        </w:rPr>
        <w:tab/>
      </w:r>
      <w:r>
        <w:rPr>
          <w:rFonts w:hint="eastAsia" w:ascii="仿宋_GB2312" w:hAnsi="仿宋_GB2312" w:eastAsia="仿宋_GB2312" w:cs="仿宋_GB2312"/>
          <w:color w:val="000000"/>
          <w:sz w:val="28"/>
          <w:szCs w:val="36"/>
        </w:rPr>
        <w:fldChar w:fldCharType="begin"/>
      </w:r>
      <w:r>
        <w:rPr>
          <w:rFonts w:hint="eastAsia" w:ascii="仿宋_GB2312" w:hAnsi="仿宋_GB2312" w:eastAsia="仿宋_GB2312" w:cs="仿宋_GB2312"/>
          <w:color w:val="000000"/>
          <w:sz w:val="28"/>
          <w:szCs w:val="36"/>
        </w:rPr>
        <w:instrText xml:space="preserve"> PAGEREF _Toc31199 \h </w:instrText>
      </w:r>
      <w:r>
        <w:rPr>
          <w:rFonts w:hint="eastAsia" w:ascii="仿宋_GB2312" w:hAnsi="仿宋_GB2312" w:eastAsia="仿宋_GB2312" w:cs="仿宋_GB2312"/>
          <w:color w:val="000000"/>
          <w:sz w:val="28"/>
          <w:szCs w:val="36"/>
        </w:rPr>
        <w:fldChar w:fldCharType="separate"/>
      </w:r>
      <w:r>
        <w:rPr>
          <w:rFonts w:hint="eastAsia" w:ascii="仿宋_GB2312" w:hAnsi="仿宋_GB2312" w:eastAsia="仿宋_GB2312" w:cs="仿宋_GB2312"/>
          <w:color w:val="000000"/>
          <w:sz w:val="28"/>
          <w:szCs w:val="36"/>
        </w:rPr>
        <w:t>- 30 -</w:t>
      </w:r>
      <w:r>
        <w:rPr>
          <w:rFonts w:hint="eastAsia" w:ascii="仿宋_GB2312" w:hAnsi="仿宋_GB2312" w:eastAsia="仿宋_GB2312" w:cs="仿宋_GB2312"/>
          <w:color w:val="000000"/>
          <w:sz w:val="28"/>
          <w:szCs w:val="36"/>
        </w:rPr>
        <w:fldChar w:fldCharType="end"/>
      </w:r>
      <w:r>
        <w:rPr>
          <w:rFonts w:hint="eastAsia" w:ascii="仿宋" w:hAnsi="仿宋" w:eastAsia="仿宋" w:cs="仿宋"/>
          <w:color w:val="000000"/>
          <w:sz w:val="28"/>
          <w:szCs w:val="144"/>
          <w:lang w:val="en-US" w:eastAsia="zh-CN"/>
        </w:rPr>
        <w:fldChar w:fldCharType="end"/>
      </w:r>
    </w:p>
    <w:p>
      <w:pPr>
        <w:pStyle w:val="8"/>
        <w:shd w:val="clear"/>
        <w:tabs>
          <w:tab w:val="right" w:leader="dot" w:pos="8306"/>
        </w:tabs>
        <w:spacing w:line="460" w:lineRule="exact"/>
        <w:rPr>
          <w:color w:val="000000"/>
          <w:sz w:val="28"/>
          <w:szCs w:val="36"/>
        </w:rPr>
      </w:pPr>
      <w:r>
        <w:rPr>
          <w:rFonts w:hint="eastAsia" w:ascii="仿宋" w:hAnsi="仿宋" w:eastAsia="仿宋" w:cs="仿宋"/>
          <w:color w:val="000000"/>
          <w:sz w:val="28"/>
          <w:szCs w:val="144"/>
          <w:lang w:val="en-US" w:eastAsia="zh-CN"/>
        </w:rPr>
        <w:fldChar w:fldCharType="begin"/>
      </w:r>
      <w:r>
        <w:rPr>
          <w:rFonts w:hint="eastAsia" w:ascii="仿宋" w:hAnsi="仿宋" w:eastAsia="仿宋" w:cs="仿宋"/>
          <w:color w:val="000000"/>
          <w:sz w:val="28"/>
          <w:szCs w:val="144"/>
          <w:lang w:val="en-US" w:eastAsia="zh-CN"/>
        </w:rPr>
        <w:instrText xml:space="preserve"> HYPERLINK \l _Toc13302 </w:instrText>
      </w:r>
      <w:r>
        <w:rPr>
          <w:rFonts w:hint="eastAsia" w:ascii="仿宋" w:hAnsi="仿宋" w:eastAsia="仿宋" w:cs="仿宋"/>
          <w:color w:val="000000"/>
          <w:sz w:val="28"/>
          <w:szCs w:val="144"/>
          <w:lang w:val="en-US" w:eastAsia="zh-CN"/>
        </w:rPr>
        <w:fldChar w:fldCharType="separate"/>
      </w:r>
      <w:r>
        <w:rPr>
          <w:rFonts w:hint="eastAsia" w:ascii="仿宋_GB2312" w:hAnsi="仿宋_GB2312" w:eastAsia="仿宋_GB2312" w:cs="仿宋_GB2312"/>
          <w:bCs/>
          <w:i w:val="0"/>
          <w:iCs w:val="0"/>
          <w:caps w:val="0"/>
          <w:color w:val="000000"/>
          <w:spacing w:val="0"/>
          <w:kern w:val="0"/>
          <w:sz w:val="28"/>
          <w:szCs w:val="44"/>
          <w:shd w:val="clear" w:color="auto" w:fill="FFFFFF"/>
          <w:lang w:val="en-US" w:eastAsia="zh-CN" w:bidi="ar"/>
        </w:rPr>
        <w:t>（十八）</w:t>
      </w:r>
      <w:r>
        <w:rPr>
          <w:rFonts w:hint="default" w:ascii="仿宋_GB2312" w:hAnsi="仿宋_GB2312" w:eastAsia="仿宋_GB2312" w:cs="仿宋_GB2312"/>
          <w:bCs/>
          <w:i w:val="0"/>
          <w:iCs w:val="0"/>
          <w:caps w:val="0"/>
          <w:color w:val="000000"/>
          <w:spacing w:val="0"/>
          <w:kern w:val="0"/>
          <w:sz w:val="28"/>
          <w:szCs w:val="44"/>
          <w:shd w:val="clear" w:color="auto" w:fill="FFFFFF"/>
          <w:lang w:val="en-US" w:eastAsia="zh-CN" w:bidi="ar"/>
        </w:rPr>
        <w:t>开展成效考核</w:t>
      </w:r>
      <w:r>
        <w:rPr>
          <w:color w:val="000000"/>
          <w:sz w:val="28"/>
          <w:szCs w:val="36"/>
        </w:rPr>
        <w:tab/>
      </w:r>
      <w:r>
        <w:rPr>
          <w:rFonts w:hint="eastAsia" w:ascii="仿宋_GB2312" w:hAnsi="仿宋_GB2312" w:eastAsia="仿宋_GB2312" w:cs="仿宋_GB2312"/>
          <w:color w:val="000000"/>
          <w:sz w:val="28"/>
          <w:szCs w:val="36"/>
        </w:rPr>
        <w:fldChar w:fldCharType="begin"/>
      </w:r>
      <w:r>
        <w:rPr>
          <w:rFonts w:hint="eastAsia" w:ascii="仿宋_GB2312" w:hAnsi="仿宋_GB2312" w:eastAsia="仿宋_GB2312" w:cs="仿宋_GB2312"/>
          <w:color w:val="000000"/>
          <w:sz w:val="28"/>
          <w:szCs w:val="36"/>
        </w:rPr>
        <w:instrText xml:space="preserve"> PAGEREF _Toc13302 \h </w:instrText>
      </w:r>
      <w:r>
        <w:rPr>
          <w:rFonts w:hint="eastAsia" w:ascii="仿宋_GB2312" w:hAnsi="仿宋_GB2312" w:eastAsia="仿宋_GB2312" w:cs="仿宋_GB2312"/>
          <w:color w:val="000000"/>
          <w:sz w:val="28"/>
          <w:szCs w:val="36"/>
        </w:rPr>
        <w:fldChar w:fldCharType="separate"/>
      </w:r>
      <w:r>
        <w:rPr>
          <w:rFonts w:hint="eastAsia" w:ascii="仿宋_GB2312" w:hAnsi="仿宋_GB2312" w:eastAsia="仿宋_GB2312" w:cs="仿宋_GB2312"/>
          <w:color w:val="000000"/>
          <w:sz w:val="28"/>
          <w:szCs w:val="36"/>
        </w:rPr>
        <w:t>- 30 -</w:t>
      </w:r>
      <w:r>
        <w:rPr>
          <w:rFonts w:hint="eastAsia" w:ascii="仿宋_GB2312" w:hAnsi="仿宋_GB2312" w:eastAsia="仿宋_GB2312" w:cs="仿宋_GB2312"/>
          <w:color w:val="000000"/>
          <w:sz w:val="28"/>
          <w:szCs w:val="36"/>
        </w:rPr>
        <w:fldChar w:fldCharType="end"/>
      </w:r>
      <w:r>
        <w:rPr>
          <w:rFonts w:hint="eastAsia" w:ascii="仿宋" w:hAnsi="仿宋" w:eastAsia="仿宋" w:cs="仿宋"/>
          <w:color w:val="000000"/>
          <w:sz w:val="28"/>
          <w:szCs w:val="144"/>
          <w:lang w:val="en-US" w:eastAsia="zh-CN"/>
        </w:rPr>
        <w:fldChar w:fldCharType="end"/>
      </w:r>
    </w:p>
    <w:p>
      <w:pPr>
        <w:pStyle w:val="7"/>
        <w:shd w:val="clear"/>
        <w:tabs>
          <w:tab w:val="right" w:leader="dot" w:pos="8306"/>
        </w:tabs>
        <w:spacing w:line="460" w:lineRule="exact"/>
        <w:rPr>
          <w:color w:val="000000"/>
          <w:sz w:val="28"/>
          <w:szCs w:val="36"/>
        </w:rPr>
      </w:pPr>
      <w:r>
        <w:rPr>
          <w:rFonts w:hint="eastAsia" w:ascii="仿宋" w:hAnsi="仿宋" w:eastAsia="仿宋" w:cs="仿宋"/>
          <w:color w:val="000000"/>
          <w:sz w:val="28"/>
          <w:szCs w:val="144"/>
          <w:lang w:val="en-US" w:eastAsia="zh-CN"/>
        </w:rPr>
        <w:fldChar w:fldCharType="begin"/>
      </w:r>
      <w:r>
        <w:rPr>
          <w:rFonts w:hint="eastAsia" w:ascii="仿宋" w:hAnsi="仿宋" w:eastAsia="仿宋" w:cs="仿宋"/>
          <w:color w:val="000000"/>
          <w:sz w:val="28"/>
          <w:szCs w:val="144"/>
          <w:lang w:val="en-US" w:eastAsia="zh-CN"/>
        </w:rPr>
        <w:instrText xml:space="preserve"> HYPERLINK \l _Toc7447 </w:instrText>
      </w:r>
      <w:r>
        <w:rPr>
          <w:rFonts w:hint="eastAsia" w:ascii="仿宋" w:hAnsi="仿宋" w:eastAsia="仿宋" w:cs="仿宋"/>
          <w:color w:val="000000"/>
          <w:sz w:val="28"/>
          <w:szCs w:val="144"/>
          <w:lang w:val="en-US" w:eastAsia="zh-CN"/>
        </w:rPr>
        <w:fldChar w:fldCharType="separate"/>
      </w:r>
      <w:r>
        <w:rPr>
          <w:rFonts w:hint="eastAsia" w:ascii="黑体" w:hAnsi="黑体" w:eastAsia="黑体" w:cs="黑体"/>
          <w:bCs/>
          <w:i w:val="0"/>
          <w:iCs w:val="0"/>
          <w:caps w:val="0"/>
          <w:color w:val="000000"/>
          <w:spacing w:val="0"/>
          <w:kern w:val="0"/>
          <w:sz w:val="28"/>
          <w:szCs w:val="52"/>
          <w:shd w:val="clear" w:color="auto" w:fill="FFFFFF"/>
          <w:lang w:val="en-US" w:eastAsia="zh-CN" w:bidi="ar"/>
        </w:rPr>
        <w:t>主要指标</w:t>
      </w:r>
      <w:r>
        <w:rPr>
          <w:rFonts w:ascii="等线" w:hAnsi="Times New Roman" w:eastAsia="等线" w:cs="Times New Roman"/>
          <w:snapToGrid/>
          <w:color w:val="000000"/>
          <w:kern w:val="2"/>
          <w:sz w:val="28"/>
          <w:szCs w:val="36"/>
          <w:lang w:val="en-US" w:eastAsia="zh-CN" w:bidi="ar-SA"/>
        </w:rPr>
        <w:tab/>
      </w:r>
      <w:r>
        <w:rPr>
          <w:rFonts w:hint="eastAsia" w:ascii="仿宋_GB2312" w:hAnsi="仿宋_GB2312" w:eastAsia="仿宋_GB2312" w:cs="仿宋_GB2312"/>
          <w:snapToGrid/>
          <w:color w:val="000000"/>
          <w:kern w:val="2"/>
          <w:sz w:val="28"/>
          <w:szCs w:val="36"/>
          <w:lang w:val="en-US" w:eastAsia="zh-CN" w:bidi="ar-SA"/>
        </w:rPr>
        <w:fldChar w:fldCharType="begin"/>
      </w:r>
      <w:r>
        <w:rPr>
          <w:rFonts w:hint="eastAsia" w:ascii="仿宋_GB2312" w:hAnsi="仿宋_GB2312" w:eastAsia="仿宋_GB2312" w:cs="仿宋_GB2312"/>
          <w:snapToGrid/>
          <w:color w:val="000000"/>
          <w:kern w:val="2"/>
          <w:sz w:val="28"/>
          <w:szCs w:val="36"/>
          <w:lang w:val="en-US" w:eastAsia="zh-CN" w:bidi="ar-SA"/>
        </w:rPr>
        <w:instrText xml:space="preserve"> PAGEREF _Toc7447 \h </w:instrText>
      </w:r>
      <w:r>
        <w:rPr>
          <w:rFonts w:hint="eastAsia" w:ascii="仿宋_GB2312" w:hAnsi="仿宋_GB2312" w:eastAsia="仿宋_GB2312" w:cs="仿宋_GB2312"/>
          <w:snapToGrid/>
          <w:color w:val="000000"/>
          <w:kern w:val="2"/>
          <w:sz w:val="28"/>
          <w:szCs w:val="36"/>
          <w:lang w:val="en-US" w:eastAsia="zh-CN" w:bidi="ar-SA"/>
        </w:rPr>
        <w:fldChar w:fldCharType="separate"/>
      </w:r>
      <w:r>
        <w:rPr>
          <w:rFonts w:hint="eastAsia" w:ascii="仿宋_GB2312" w:hAnsi="仿宋_GB2312" w:eastAsia="仿宋_GB2312" w:cs="仿宋_GB2312"/>
          <w:snapToGrid/>
          <w:color w:val="000000"/>
          <w:kern w:val="2"/>
          <w:sz w:val="28"/>
          <w:szCs w:val="36"/>
          <w:lang w:val="en-US" w:eastAsia="zh-CN" w:bidi="ar-SA"/>
        </w:rPr>
        <w:t>- 31 -</w:t>
      </w:r>
      <w:r>
        <w:rPr>
          <w:rFonts w:hint="eastAsia" w:ascii="仿宋_GB2312" w:hAnsi="仿宋_GB2312" w:eastAsia="仿宋_GB2312" w:cs="仿宋_GB2312"/>
          <w:snapToGrid/>
          <w:color w:val="000000"/>
          <w:kern w:val="2"/>
          <w:sz w:val="28"/>
          <w:szCs w:val="36"/>
          <w:lang w:val="en-US" w:eastAsia="zh-CN" w:bidi="ar-SA"/>
        </w:rPr>
        <w:fldChar w:fldCharType="end"/>
      </w:r>
      <w:r>
        <w:rPr>
          <w:rFonts w:hint="eastAsia" w:ascii="仿宋" w:hAnsi="仿宋" w:eastAsia="仿宋" w:cs="仿宋"/>
          <w:color w:val="000000"/>
          <w:sz w:val="28"/>
          <w:szCs w:val="144"/>
          <w:lang w:val="en-US" w:eastAsia="zh-CN"/>
        </w:rPr>
        <w:fldChar w:fldCharType="end"/>
      </w:r>
    </w:p>
    <w:p>
      <w:pPr>
        <w:pStyle w:val="7"/>
        <w:shd w:val="clear"/>
        <w:tabs>
          <w:tab w:val="right" w:leader="dot" w:pos="8306"/>
        </w:tabs>
        <w:spacing w:line="460" w:lineRule="exact"/>
        <w:rPr>
          <w:color w:val="000000"/>
          <w:sz w:val="28"/>
          <w:szCs w:val="36"/>
        </w:rPr>
      </w:pPr>
      <w:r>
        <w:rPr>
          <w:rFonts w:hint="eastAsia" w:ascii="仿宋" w:hAnsi="仿宋" w:eastAsia="仿宋" w:cs="仿宋"/>
          <w:color w:val="000000"/>
          <w:sz w:val="28"/>
          <w:szCs w:val="144"/>
          <w:lang w:val="en-US" w:eastAsia="zh-CN"/>
        </w:rPr>
        <w:fldChar w:fldCharType="begin"/>
      </w:r>
      <w:r>
        <w:rPr>
          <w:rFonts w:hint="eastAsia" w:ascii="仿宋" w:hAnsi="仿宋" w:eastAsia="仿宋" w:cs="仿宋"/>
          <w:color w:val="000000"/>
          <w:sz w:val="28"/>
          <w:szCs w:val="144"/>
          <w:lang w:val="en-US" w:eastAsia="zh-CN"/>
        </w:rPr>
        <w:instrText xml:space="preserve"> HYPERLINK \l _Toc19191 </w:instrText>
      </w:r>
      <w:r>
        <w:rPr>
          <w:rFonts w:hint="eastAsia" w:ascii="仿宋" w:hAnsi="仿宋" w:eastAsia="仿宋" w:cs="仿宋"/>
          <w:color w:val="000000"/>
          <w:sz w:val="28"/>
          <w:szCs w:val="144"/>
          <w:lang w:val="en-US" w:eastAsia="zh-CN"/>
        </w:rPr>
        <w:fldChar w:fldCharType="separate"/>
      </w:r>
      <w:r>
        <w:rPr>
          <w:rFonts w:hint="eastAsia" w:ascii="黑体" w:hAnsi="黑体" w:eastAsia="黑体" w:cs="黑体"/>
          <w:bCs w:val="0"/>
          <w:color w:val="000000"/>
          <w:sz w:val="28"/>
          <w:szCs w:val="44"/>
          <w:lang w:val="en-US" w:eastAsia="zh-CN"/>
        </w:rPr>
        <w:t>附件：重大工程项目清单（第一批）</w:t>
      </w:r>
      <w:r>
        <w:rPr>
          <w:rFonts w:ascii="等线" w:hAnsi="Times New Roman" w:eastAsia="等线" w:cs="Times New Roman"/>
          <w:snapToGrid/>
          <w:color w:val="000000"/>
          <w:kern w:val="2"/>
          <w:sz w:val="28"/>
          <w:szCs w:val="36"/>
          <w:lang w:val="en-US" w:eastAsia="zh-CN" w:bidi="ar-SA"/>
        </w:rPr>
        <w:tab/>
      </w:r>
      <w:r>
        <w:rPr>
          <w:rFonts w:hint="eastAsia" w:ascii="仿宋_GB2312" w:hAnsi="仿宋_GB2312" w:eastAsia="仿宋_GB2312" w:cs="仿宋_GB2312"/>
          <w:snapToGrid/>
          <w:color w:val="000000"/>
          <w:kern w:val="2"/>
          <w:sz w:val="28"/>
          <w:szCs w:val="36"/>
          <w:lang w:val="en-US" w:eastAsia="zh-CN" w:bidi="ar-SA"/>
        </w:rPr>
        <w:fldChar w:fldCharType="begin"/>
      </w:r>
      <w:r>
        <w:rPr>
          <w:rFonts w:hint="eastAsia" w:ascii="仿宋_GB2312" w:hAnsi="仿宋_GB2312" w:eastAsia="仿宋_GB2312" w:cs="仿宋_GB2312"/>
          <w:snapToGrid/>
          <w:color w:val="000000"/>
          <w:kern w:val="2"/>
          <w:sz w:val="28"/>
          <w:szCs w:val="36"/>
          <w:lang w:val="en-US" w:eastAsia="zh-CN" w:bidi="ar-SA"/>
        </w:rPr>
        <w:instrText xml:space="preserve"> PAGEREF _Toc19191 \h </w:instrText>
      </w:r>
      <w:r>
        <w:rPr>
          <w:rFonts w:hint="eastAsia" w:ascii="仿宋_GB2312" w:hAnsi="仿宋_GB2312" w:eastAsia="仿宋_GB2312" w:cs="仿宋_GB2312"/>
          <w:snapToGrid/>
          <w:color w:val="000000"/>
          <w:kern w:val="2"/>
          <w:sz w:val="28"/>
          <w:szCs w:val="36"/>
          <w:lang w:val="en-US" w:eastAsia="zh-CN" w:bidi="ar-SA"/>
        </w:rPr>
        <w:fldChar w:fldCharType="separate"/>
      </w:r>
      <w:r>
        <w:rPr>
          <w:rFonts w:hint="eastAsia" w:ascii="仿宋_GB2312" w:hAnsi="仿宋_GB2312" w:eastAsia="仿宋_GB2312" w:cs="仿宋_GB2312"/>
          <w:snapToGrid/>
          <w:color w:val="000000"/>
          <w:kern w:val="2"/>
          <w:sz w:val="28"/>
          <w:szCs w:val="36"/>
          <w:lang w:val="en-US" w:eastAsia="zh-CN" w:bidi="ar-SA"/>
        </w:rPr>
        <w:t>- 34 -</w:t>
      </w:r>
      <w:r>
        <w:rPr>
          <w:rFonts w:hint="eastAsia" w:ascii="仿宋_GB2312" w:hAnsi="仿宋_GB2312" w:eastAsia="仿宋_GB2312" w:cs="仿宋_GB2312"/>
          <w:snapToGrid/>
          <w:color w:val="000000"/>
          <w:kern w:val="2"/>
          <w:sz w:val="28"/>
          <w:szCs w:val="36"/>
          <w:lang w:val="en-US" w:eastAsia="zh-CN" w:bidi="ar-SA"/>
        </w:rPr>
        <w:fldChar w:fldCharType="end"/>
      </w:r>
      <w:r>
        <w:rPr>
          <w:rFonts w:hint="eastAsia" w:ascii="仿宋" w:hAnsi="仿宋" w:eastAsia="仿宋" w:cs="仿宋"/>
          <w:color w:val="000000"/>
          <w:sz w:val="28"/>
          <w:szCs w:val="144"/>
          <w:lang w:val="en-US" w:eastAsia="zh-CN"/>
        </w:rPr>
        <w:fldChar w:fldCharType="end"/>
      </w:r>
    </w:p>
    <w:p>
      <w:pPr>
        <w:pStyle w:val="2"/>
        <w:shd w:val="clear"/>
        <w:spacing w:line="460" w:lineRule="exact"/>
        <w:ind w:firstLine="0" w:firstLineChars="0"/>
        <w:rPr>
          <w:rFonts w:hint="eastAsia"/>
          <w:color w:val="000000"/>
          <w:sz w:val="40"/>
          <w:szCs w:val="40"/>
          <w:lang w:val="en-US" w:eastAsia="zh-CN"/>
        </w:rPr>
      </w:pPr>
      <w:r>
        <w:rPr>
          <w:rFonts w:hint="eastAsia" w:ascii="仿宋" w:hAnsi="仿宋" w:eastAsia="仿宋" w:cs="仿宋"/>
          <w:color w:val="000000"/>
          <w:sz w:val="28"/>
          <w:szCs w:val="144"/>
          <w:lang w:val="en-US" w:eastAsia="zh-CN"/>
        </w:rPr>
        <w:fldChar w:fldCharType="end"/>
      </w:r>
    </w:p>
    <w:p>
      <w:pPr>
        <w:shd w:val="clear"/>
        <w:ind w:firstLine="560" w:firstLineChars="200"/>
        <w:rPr>
          <w:rFonts w:hint="eastAsia" w:ascii="仿宋_GB2312" w:hAnsi="仿宋_GB2312" w:eastAsia="仿宋_GB2312" w:cs="仿宋_GB2312"/>
          <w:i w:val="0"/>
          <w:iCs w:val="0"/>
          <w:caps w:val="0"/>
          <w:color w:val="000000"/>
          <w:spacing w:val="0"/>
          <w:kern w:val="0"/>
          <w:sz w:val="28"/>
          <w:szCs w:val="28"/>
          <w:shd w:val="clear" w:color="auto" w:fill="FFFFFF"/>
          <w:lang w:val="en-US" w:eastAsia="zh-CN" w:bidi="ar"/>
        </w:rPr>
        <w:sectPr>
          <w:footerReference r:id="rId5" w:type="default"/>
          <w:pgSz w:w="11906" w:h="16838"/>
          <w:pgMar w:top="1928" w:right="1587" w:bottom="1928" w:left="1587" w:header="851" w:footer="1417" w:gutter="0"/>
          <w:pgNumType w:fmt="numberInDash"/>
          <w:cols w:space="720" w:num="1"/>
          <w:rtlGutter w:val="0"/>
          <w:docGrid w:type="lines" w:linePitch="457" w:charSpace="0"/>
        </w:sectPr>
      </w:pPr>
    </w:p>
    <w:p>
      <w:pPr>
        <w:spacing w:line="580" w:lineRule="exact"/>
        <w:ind w:firstLine="640" w:firstLineChars="200"/>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为全面推进“山水诗画  生态韵城”建设，根据中共中央、国务院《关于全面推进美丽中国建设的意见》和中共福建省委、福建省人民政府《关于更高起点建设生态强省谱写美丽中国建设福建篇章的实施方案》的部署要求，结合我市实际，制定如下实施方案。</w:t>
      </w:r>
    </w:p>
    <w:p>
      <w:pPr>
        <w:spacing w:line="580" w:lineRule="exact"/>
        <w:ind w:firstLine="640" w:firstLineChars="200"/>
        <w:outlineLvl w:val="0"/>
        <w:rPr>
          <w:rStyle w:val="13"/>
          <w:rFonts w:hint="eastAsia" w:ascii="黑体" w:hAnsi="黑体" w:eastAsia="黑体" w:cs="黑体"/>
          <w:b w:val="0"/>
          <w:bCs/>
          <w:i w:val="0"/>
          <w:iCs w:val="0"/>
          <w:caps w:val="0"/>
          <w:color w:val="000000"/>
          <w:spacing w:val="0"/>
          <w:kern w:val="0"/>
          <w:sz w:val="32"/>
          <w:szCs w:val="32"/>
          <w:shd w:val="clear" w:color="auto" w:fill="FFFFFF"/>
          <w:lang w:val="en-US" w:eastAsia="zh-CN" w:bidi="ar"/>
        </w:rPr>
      </w:pPr>
      <w:bookmarkStart w:id="1" w:name="_Toc22929"/>
      <w:r>
        <w:rPr>
          <w:rStyle w:val="13"/>
          <w:rFonts w:hint="eastAsia" w:ascii="黑体" w:hAnsi="黑体" w:eastAsia="黑体" w:cs="黑体"/>
          <w:b w:val="0"/>
          <w:bCs/>
          <w:i w:val="0"/>
          <w:iCs w:val="0"/>
          <w:caps w:val="0"/>
          <w:color w:val="000000"/>
          <w:spacing w:val="0"/>
          <w:kern w:val="0"/>
          <w:sz w:val="32"/>
          <w:szCs w:val="32"/>
          <w:shd w:val="clear" w:color="auto" w:fill="FFFFFF"/>
          <w:lang w:val="en-US" w:eastAsia="zh-CN" w:bidi="ar"/>
        </w:rPr>
        <w:t>一、总体要求</w:t>
      </w:r>
      <w:bookmarkEnd w:id="1"/>
    </w:p>
    <w:p>
      <w:pPr>
        <w:spacing w:line="580" w:lineRule="exact"/>
        <w:ind w:firstLine="640" w:firstLineChars="200"/>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以习近平新时代中国特色社会主义思想特别是习近平生态文明思想为指导，深入贯彻党的二十大和历次全会精神，全面落实习近平总书记来闽考察时的重要讲话精神、习近平总书记关于木兰溪治理的重要理念和保护好湄洲岛的重要嘱托，坚决执行全国生态环境保护大会和省委、省政府关于美丽福建建设的决策部署，牢固树立和践行绿水青山就是金山银山的理念。聚焦建设“山水诗画 生态韵城”，健全生态环境治理体系，统筹高质量发展、高水平保护、高品质生活、高效能治理，协同推进降碳、减污、扩绿、增长，推进生态优先、节约集约、绿色低碳发展，做到全领域转型、全方位提升、全地域建设、全社会行动，推进国家生态文明建设示范市建设，打造生态文明的木兰溪样本和湄洲岛范本，构筑天蓝、地绿、水清的人与自然和谐共生的新愿景。</w:t>
      </w:r>
    </w:p>
    <w:p>
      <w:pPr>
        <w:spacing w:line="580" w:lineRule="exact"/>
        <w:ind w:firstLine="643" w:firstLineChars="200"/>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bCs/>
          <w:i w:val="0"/>
          <w:iCs w:val="0"/>
          <w:caps w:val="0"/>
          <w:color w:val="000000"/>
          <w:spacing w:val="0"/>
          <w:sz w:val="32"/>
          <w:szCs w:val="32"/>
          <w:shd w:val="clear" w:color="auto" w:fill="FFFFFF"/>
        </w:rPr>
        <w:t>主要目标是：</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到2027年，木兰溪流域生态保护和高质量发展取得明显进展，绿色低碳发展深入推进，主要污染物排放总量持续减少，生态环境质量持续提升，国土空间开发保护格局得到优化，生态系统服务功能不断增强，城乡人居环境明显改善，生态安全有效保障，生态环境治理体系更加健全，“山水诗画 生态韵城”建设成效明显。</w:t>
      </w:r>
    </w:p>
    <w:p>
      <w:pPr>
        <w:spacing w:line="580" w:lineRule="exact"/>
        <w:ind w:firstLine="640" w:firstLineChars="200"/>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到2030年，广泛形成绿色生产生活方式，碳排放强度明显降低，生态环境根本好转，国土空间开发保护新格局进一步优化，生态系统多样性稳定性持续性显著提升，优质生态产品供给更加充分，美好生活品质需求基本满足，生态安全更加稳固，生态环境治理体系和治理能力现代化基本建成，“山水诗画 生态韵城”建设目标基本实现。</w:t>
      </w:r>
    </w:p>
    <w:p>
      <w:pPr>
        <w:spacing w:line="580" w:lineRule="exact"/>
        <w:ind w:firstLine="640" w:firstLineChars="200"/>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到2035年，生态文明全面提升，能源和水资源利用效率达到国际先进水平，绿色发展方式和生活方式全面形成，碳排放达峰后稳中有降，重点领域基本实现深度脱碳，国土空间开发保护新格局全面形成，生态环境健康优美，美好生活品质全民普惠共享，生态环境治理体系和治理能力现代化水平进一步提升，人与自然和谐共生的“山水诗画 生态韵城”全面建成。</w:t>
      </w:r>
    </w:p>
    <w:p>
      <w:pPr>
        <w:pStyle w:val="2"/>
        <w:spacing w:line="580" w:lineRule="exact"/>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6"/>
          <w:kern w:val="0"/>
          <w:sz w:val="32"/>
          <w:szCs w:val="32"/>
          <w:shd w:val="clear" w:color="auto" w:fill="FFFFFF"/>
          <w:lang w:val="en-US" w:eastAsia="zh-CN" w:bidi="ar"/>
        </w:rPr>
        <w:t>实施方案的期限为2025—2035年。近期规划期限为2025—2027年，中远期规划期限为2028—2035年</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w:t>
      </w:r>
    </w:p>
    <w:p>
      <w:pPr>
        <w:spacing w:line="580" w:lineRule="exact"/>
        <w:ind w:firstLine="640" w:firstLineChars="200"/>
        <w:outlineLvl w:val="0"/>
        <w:rPr>
          <w:rFonts w:hint="eastAsia" w:ascii="楷体_GB2312" w:hAnsi="楷体_GB2312" w:eastAsia="楷体_GB2312" w:cs="楷体_GB2312"/>
          <w:b/>
          <w:bCs/>
          <w:i w:val="0"/>
          <w:iCs w:val="0"/>
          <w:caps w:val="0"/>
          <w:color w:val="000000"/>
          <w:spacing w:val="0"/>
          <w:kern w:val="0"/>
          <w:sz w:val="32"/>
          <w:szCs w:val="32"/>
          <w:shd w:val="clear" w:color="auto" w:fill="FFFFFF"/>
          <w:lang w:val="en-US" w:eastAsia="zh-CN" w:bidi="ar"/>
        </w:rPr>
      </w:pPr>
      <w:bookmarkStart w:id="2" w:name="_Toc100"/>
      <w:r>
        <w:rPr>
          <w:rStyle w:val="13"/>
          <w:rFonts w:hint="eastAsia" w:ascii="黑体" w:hAnsi="黑体" w:eastAsia="黑体" w:cs="黑体"/>
          <w:b w:val="0"/>
          <w:bCs/>
          <w:i w:val="0"/>
          <w:iCs w:val="0"/>
          <w:caps w:val="0"/>
          <w:color w:val="000000"/>
          <w:spacing w:val="0"/>
          <w:kern w:val="0"/>
          <w:sz w:val="32"/>
          <w:szCs w:val="32"/>
          <w:shd w:val="clear" w:color="auto" w:fill="FFFFFF"/>
          <w:lang w:val="en-US" w:eastAsia="zh-CN" w:bidi="ar"/>
        </w:rPr>
        <w:t>二、引领绿色低碳转型发展潮流</w:t>
      </w:r>
      <w:bookmarkEnd w:id="2"/>
    </w:p>
    <w:p>
      <w:pPr>
        <w:pStyle w:val="2"/>
        <w:spacing w:line="580" w:lineRule="exact"/>
        <w:outlineLvl w:val="1"/>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bookmarkStart w:id="3" w:name="_Toc17366"/>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（一）不断优化陆海共美的国土空间</w:t>
      </w:r>
      <w:bookmarkEnd w:id="3"/>
    </w:p>
    <w:p>
      <w:pPr>
        <w:keepNext w:val="0"/>
        <w:keepLines w:val="0"/>
        <w:pageBreakBefore w:val="0"/>
        <w:widowControl w:val="0"/>
        <w:kinsoku/>
        <w:wordWrap/>
        <w:topLinePunct w:val="0"/>
        <w:bidi w:val="0"/>
        <w:spacing w:line="580" w:lineRule="exact"/>
        <w:ind w:firstLine="640" w:firstLineChars="200"/>
        <w:rPr>
          <w:rFonts w:hint="eastAsia"/>
          <w:color w:val="000000"/>
          <w:sz w:val="32"/>
          <w:szCs w:val="32"/>
          <w:lang w:eastAsia="zh-CN"/>
        </w:rPr>
      </w:pPr>
      <w:r>
        <w:rPr>
          <w:rFonts w:hint="eastAsia" w:ascii="仿宋_GB2312" w:hAnsi="仿宋_GB2312" w:eastAsia="仿宋_GB2312" w:cs="仿宋_GB2312"/>
          <w:b w:val="0"/>
          <w:bCs/>
          <w:color w:val="000000"/>
          <w:sz w:val="32"/>
          <w:szCs w:val="32"/>
          <w:lang w:eastAsia="zh-CN"/>
        </w:rPr>
        <w:t>按照《莆田市国土空间总体规划（2021—2035年）》，围绕推动高质量发展首要任务和构建新发展格局战略任务，紧扣高质量建设国家生态文明试验区、21世纪海上丝绸之路核心区、海峡两岸融合发展示范区等重要使命，深入实施区域协调发展战略、区域重大战略，积极融入粤闽浙沿海城市群、福州都市圈、闽东北协同发展区，大力建设数字莆田、海上莆田、绿色高质量发展先行市，努力打造滨海生态宜居城市、福州都市圈次级中心、世界妈祖文化中心。同时，落实主体功能区战略、新型城镇化战略、乡村振兴战略、海洋强国战略，发挥区域比较优势，优化主体功能定位，细化主体功能区划分，统筹好生产、生活、生态空间，推动高颜值生态、高质量发展、高品质生活的有机统一。坚持区域协调、城乡融合，着力构建“两区两带三湾、一主一副两轴”的市域国土空间开发保护格局，科学优化中心城区空间布局，合理安排居住用地，统筹配置教育、医疗、文化、体育、养老等公共服务设施，系统建设公共开敞空间；分区分类优化乡村空间布局，完善城乡生活圈，推动城乡基础设施和公共服务一体化，全方位提升城乡建设品质。落实最严格的耕地保护制度、生态环境保护制度、节约用地制度，严守粮食、生态、资源安全底线。到2035年，莆田市耕地保有量不低于69.34万亩，其中永久基本农田保护面积不低于64.885万亩；生态保护红线面积不低于2275.78平方千米；城镇开发边界扩展倍数不超过省</w:t>
      </w:r>
      <w:r>
        <w:rPr>
          <w:rFonts w:hint="eastAsia" w:ascii="仿宋_GB2312" w:hAnsi="仿宋_GB2312" w:cs="仿宋_GB2312"/>
          <w:b w:val="0"/>
          <w:bCs/>
          <w:color w:val="000000"/>
          <w:sz w:val="32"/>
          <w:szCs w:val="32"/>
          <w:lang w:eastAsia="zh-CN"/>
        </w:rPr>
        <w:t>自然资源厅</w:t>
      </w:r>
      <w:r>
        <w:rPr>
          <w:rFonts w:hint="eastAsia" w:ascii="仿宋_GB2312" w:hAnsi="仿宋_GB2312" w:eastAsia="仿宋_GB2312" w:cs="仿宋_GB2312"/>
          <w:b w:val="0"/>
          <w:bCs/>
          <w:color w:val="000000"/>
          <w:sz w:val="32"/>
          <w:szCs w:val="32"/>
          <w:lang w:eastAsia="zh-CN"/>
        </w:rPr>
        <w:t>下达的控制数；用水总量不超过省</w:t>
      </w:r>
      <w:r>
        <w:rPr>
          <w:rFonts w:hint="eastAsia" w:ascii="仿宋_GB2312" w:hAnsi="仿宋_GB2312" w:cs="仿宋_GB2312"/>
          <w:b w:val="0"/>
          <w:bCs/>
          <w:color w:val="000000"/>
          <w:sz w:val="32"/>
          <w:szCs w:val="32"/>
          <w:lang w:eastAsia="zh-CN"/>
        </w:rPr>
        <w:t>水利厅</w:t>
      </w:r>
      <w:r>
        <w:rPr>
          <w:rFonts w:hint="eastAsia" w:ascii="仿宋_GB2312" w:hAnsi="仿宋_GB2312" w:eastAsia="仿宋_GB2312" w:cs="仿宋_GB2312"/>
          <w:b w:val="0"/>
          <w:bCs/>
          <w:color w:val="000000"/>
          <w:sz w:val="32"/>
          <w:szCs w:val="32"/>
          <w:lang w:eastAsia="zh-CN"/>
        </w:rPr>
        <w:t>下达的指标；大陆自然岸线保有率不低于省</w:t>
      </w:r>
      <w:r>
        <w:rPr>
          <w:rFonts w:hint="eastAsia" w:ascii="仿宋_GB2312" w:hAnsi="仿宋_GB2312" w:cs="仿宋_GB2312"/>
          <w:b w:val="0"/>
          <w:bCs/>
          <w:color w:val="000000"/>
          <w:sz w:val="32"/>
          <w:szCs w:val="32"/>
          <w:lang w:eastAsia="zh-CN"/>
        </w:rPr>
        <w:t>自然资源厅</w:t>
      </w:r>
      <w:r>
        <w:rPr>
          <w:rFonts w:hint="eastAsia" w:ascii="仿宋_GB2312" w:hAnsi="仿宋_GB2312" w:eastAsia="仿宋_GB2312" w:cs="仿宋_GB2312"/>
          <w:b w:val="0"/>
          <w:bCs/>
          <w:color w:val="000000"/>
          <w:sz w:val="32"/>
          <w:szCs w:val="32"/>
          <w:lang w:eastAsia="zh-CN"/>
        </w:rPr>
        <w:t>下达的任务。严守历史文化保护线、洪涝风险控制线等各类控制线，全面锚固高质量发展的空间底线。</w:t>
      </w:r>
    </w:p>
    <w:p>
      <w:pPr>
        <w:pStyle w:val="2"/>
        <w:spacing w:line="580" w:lineRule="exact"/>
        <w:outlineLvl w:val="1"/>
        <w:rPr>
          <w:rFonts w:hint="default"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bookmarkStart w:id="4" w:name="_Toc1773"/>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（二）加快构建碳排放双控制度体系</w:t>
      </w:r>
      <w:bookmarkEnd w:id="4"/>
    </w:p>
    <w:p>
      <w:pPr>
        <w:pStyle w:val="2"/>
        <w:spacing w:line="580" w:lineRule="exact"/>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坚持先立后破，</w:t>
      </w:r>
      <w:r>
        <w:rPr>
          <w:rFonts w:hint="eastAsia" w:ascii="仿宋_GB2312" w:hAnsi="仿宋_GB2312" w:eastAsia="仿宋_GB2312" w:cs="仿宋_GB2312"/>
          <w:i w:val="0"/>
          <w:iCs w:val="0"/>
          <w:caps w:val="0"/>
          <w:color w:val="000000"/>
          <w:spacing w:val="0"/>
          <w:sz w:val="32"/>
          <w:szCs w:val="32"/>
          <w:shd w:val="clear" w:color="auto" w:fill="FFFFFF"/>
        </w:rPr>
        <w:t>实施碳达峰</w:t>
      </w:r>
      <w:r>
        <w:rPr>
          <w:rFonts w:hint="eastAsia" w:ascii="仿宋_GB2312" w:hAnsi="仿宋_GB2312" w:eastAsia="仿宋_GB2312" w:cs="仿宋_GB2312"/>
          <w:i w:val="0"/>
          <w:iCs w:val="0"/>
          <w:caps w:val="0"/>
          <w:color w:val="000000"/>
          <w:spacing w:val="0"/>
          <w:sz w:val="32"/>
          <w:szCs w:val="32"/>
          <w:shd w:val="clear" w:color="auto" w:fill="FFFFFF"/>
          <w:lang w:val="en-US" w:eastAsia="zh-CN"/>
        </w:rPr>
        <w:t>九大</w:t>
      </w:r>
      <w:r>
        <w:rPr>
          <w:rFonts w:hint="eastAsia" w:ascii="仿宋_GB2312" w:hAnsi="仿宋_GB2312" w:eastAsia="仿宋_GB2312" w:cs="仿宋_GB2312"/>
          <w:i w:val="0"/>
          <w:iCs w:val="0"/>
          <w:caps w:val="0"/>
          <w:color w:val="000000"/>
          <w:spacing w:val="0"/>
          <w:sz w:val="32"/>
          <w:szCs w:val="32"/>
          <w:shd w:val="clear" w:color="auto" w:fill="FFFFFF"/>
        </w:rPr>
        <w:t>行动</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将碳达峰贯穿于经济社会发展全过程和各方面</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b w:val="0"/>
          <w:bCs/>
          <w:color w:val="000000"/>
          <w:sz w:val="32"/>
          <w:szCs w:val="32"/>
          <w:lang w:val="en-US" w:eastAsia="zh-CN"/>
        </w:rPr>
        <w:t>“十五五”时期，实施以强度控制为主、总量控制为辅的碳排放双控制度，建立碳达峰碳中和综合评价考核制度，加强重点领域和行业碳排放核算能力，健全重点用能和碳排放单位管理制度，开展固定资产投资项目碳排放评价，构建符合国情的产品碳足迹管理体系和产品碳标识认证制度，确保如期实现碳达峰目标。碳达峰后，实施以总量控制为主、强度控制为辅的碳排放双控制度，建立碳中和目标评价考核制度，进一步强化对重点领域、行业、企业的碳排放管控要求，健全产品碳足迹管理体系，推行产品碳标识认证制度，推动碳排放总量稳中有降。</w:t>
      </w:r>
      <w:r>
        <w:rPr>
          <w:rFonts w:hint="eastAsia" w:ascii="仿宋_GB2312" w:hAnsi="仿宋_GB2312" w:eastAsia="仿宋_GB2312" w:cs="仿宋_GB2312"/>
          <w:i w:val="0"/>
          <w:iCs w:val="0"/>
          <w:caps w:val="0"/>
          <w:color w:val="000000"/>
          <w:spacing w:val="0"/>
          <w:sz w:val="32"/>
          <w:szCs w:val="32"/>
          <w:shd w:val="clear" w:color="auto" w:fill="FFFFFF"/>
        </w:rPr>
        <w:t>到2035年，非化石能源占能源消费总量比重进一步提高</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b w:val="0"/>
          <w:bCs/>
          <w:color w:val="000000"/>
          <w:sz w:val="32"/>
          <w:szCs w:val="32"/>
          <w:lang w:eastAsia="zh-CN"/>
        </w:rPr>
        <w:t>打造具有国际影响力的沿海新能源产业创新走廊和输出高地。</w:t>
      </w:r>
    </w:p>
    <w:p>
      <w:pPr>
        <w:pStyle w:val="2"/>
        <w:spacing w:line="580" w:lineRule="exact"/>
        <w:outlineLvl w:val="1"/>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bookmarkStart w:id="5" w:name="_Toc13778"/>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（三）推进重点领域的绿色转型发展</w:t>
      </w:r>
      <w:bookmarkEnd w:id="5"/>
    </w:p>
    <w:p>
      <w:pPr>
        <w:pStyle w:val="2"/>
        <w:spacing w:line="580" w:lineRule="exact"/>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积极培育和发展新质生产力和未来产业，坚决遏制“高耗能、高排放、低水平”项目盲目上马，做好重点领域节能降碳改造升级工作。统筹</w:t>
      </w:r>
      <w:r>
        <w:rPr>
          <w:rFonts w:hint="eastAsia" w:ascii="仿宋_GB2312" w:hAnsi="仿宋_GB2312" w:eastAsia="仿宋_GB2312" w:cs="仿宋_GB2312"/>
          <w:i w:val="0"/>
          <w:iCs w:val="0"/>
          <w:caps w:val="0"/>
          <w:color w:val="000000"/>
          <w:spacing w:val="0"/>
          <w:sz w:val="32"/>
          <w:szCs w:val="32"/>
          <w:shd w:val="clear" w:color="auto" w:fill="FFFFFF"/>
        </w:rPr>
        <w:t>规划建设新型能源体系，</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大力</w:t>
      </w:r>
      <w:r>
        <w:rPr>
          <w:rFonts w:hint="eastAsia" w:ascii="仿宋_GB2312" w:hAnsi="仿宋_GB2312" w:eastAsia="仿宋_GB2312" w:cs="仿宋_GB2312"/>
          <w:i w:val="0"/>
          <w:iCs w:val="0"/>
          <w:caps w:val="0"/>
          <w:color w:val="000000"/>
          <w:spacing w:val="0"/>
          <w:sz w:val="32"/>
          <w:szCs w:val="32"/>
          <w:shd w:val="clear" w:color="auto" w:fill="FFFFFF"/>
          <w:lang w:eastAsia="zh-CN"/>
        </w:rPr>
        <w:t>推进“公转铁”“公转水”，</w:t>
      </w:r>
      <w:r>
        <w:rPr>
          <w:rFonts w:hint="eastAsia" w:ascii="仿宋_GB2312" w:hAnsi="仿宋_GB2312" w:eastAsia="仿宋_GB2312" w:cs="仿宋_GB2312"/>
          <w:i w:val="0"/>
          <w:iCs w:val="0"/>
          <w:caps w:val="0"/>
          <w:color w:val="000000"/>
          <w:spacing w:val="0"/>
          <w:sz w:val="32"/>
          <w:szCs w:val="32"/>
          <w:shd w:val="clear" w:color="auto" w:fill="FFFFFF"/>
          <w:lang w:val="en-US" w:eastAsia="zh-CN"/>
        </w:rPr>
        <w:t>积极</w:t>
      </w:r>
      <w:r>
        <w:rPr>
          <w:rFonts w:hint="eastAsia" w:ascii="仿宋_GB2312" w:hAnsi="仿宋_GB2312" w:eastAsia="仿宋_GB2312" w:cs="仿宋_GB2312"/>
          <w:i w:val="0"/>
          <w:iCs w:val="0"/>
          <w:caps w:val="0"/>
          <w:color w:val="000000"/>
          <w:spacing w:val="0"/>
          <w:sz w:val="32"/>
          <w:szCs w:val="32"/>
          <w:shd w:val="clear" w:color="auto" w:fill="FFFFFF"/>
          <w:lang w:eastAsia="zh-CN"/>
        </w:rPr>
        <w:t>建立城市绿色配送体系，鼓励企业购置新能源车辆。加快传统产业智能化、绿色化、低碳化、融合化转型升级，</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推进资源循环利用项目建设。到2027年，新增汽车中新能源汽车占比力争达到50%，老旧内燃机车基本淘汰，港口集装箱铁水联运量保持较快增长，基本形成以先进制造业为主导、现代服务业深度融合，实体经济与科技创新、现代金融、人力资源相结合的莆田特色现代产业体系。到2035年，铁路水路货运周转量占总周转量比例达到45%左右，产业总体竞争力进入全省前列，产业高质量发展态势基本形成，推动更多有条件的开发区“走出去”，打造区域合作园区。</w:t>
      </w:r>
    </w:p>
    <w:p>
      <w:pPr>
        <w:pStyle w:val="2"/>
        <w:spacing w:line="580" w:lineRule="exact"/>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实施化肥农药减量增效行动，加快农业投入品减量增效技术集成创新和推广应用，推广绿肥种植、增施有机肥，开展化肥投入定额制试点。加强农业废弃物资源化利用。推广应用白僵菌等生物制剂无公害防治林业有害生物，减少施用农药，无公害防治率85%以上；持续加强食用林产品质量监测，每年抽样检测30个批次以上。推进连片的生态茶果园建设。到2027年主要农作物绿色防控覆盖率55%，农药包装废弃物回收率80%。推进秸秆资源化利用，保持综合利用率在90%以上。全力推进木兰溪南岸全域土地综合整治试点项目，力争在土地整治等方面探索莆田经验。2035年，受污染耕地安全利用率达95%以上，主要农作物化肥农药利用进一步减量增效。</w:t>
      </w:r>
    </w:p>
    <w:p>
      <w:pPr>
        <w:pStyle w:val="2"/>
        <w:spacing w:line="580" w:lineRule="exact"/>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开展畜禽粪污资源化利用，推广畜禽粪肥还田利用、沼液智能化施用等技术模式，探索实施畜禽粪污养分平衡管理，推进种养循环发展。推进水产绿色健康养殖，提升改造海上养殖设施，开展水产健康养殖技术推广“五大行动”，实现用药量、特别是抗生素使用量同比持续降低。到2027年，力争畜禽粪污综合利用率达93%以上，实现大黄鱼重点养殖企业配合饲料替代率不低于90%。到2035年，实现海上养殖网箱升级改造全部完成。</w:t>
      </w:r>
    </w:p>
    <w:p>
      <w:pPr>
        <w:pStyle w:val="2"/>
        <w:spacing w:line="580" w:lineRule="exact"/>
        <w:outlineLvl w:val="1"/>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bookmarkStart w:id="6" w:name="_Toc8026"/>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（四）确保资源节约集约和循环利用</w:t>
      </w:r>
      <w:bookmarkEnd w:id="6"/>
    </w:p>
    <w:p>
      <w:pPr>
        <w:pStyle w:val="2"/>
        <w:spacing w:line="580" w:lineRule="exact"/>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实施全面节约战略，强化节能、节水、节地、节材、节矿。持续推进重点领域节能降耗，加快推进“两高”行业能效水平改造提升，推进资源全过程管理和全链条节约。开展工业用地利用情况调查，加强节约集约用地评价，推广应用节地技术和模式。加强城乡建设节能，加强能源节约高效利用。认真落实最严格水资源管理制度，深入实施国家节水行动，强化用水总量和强度双控，加强非常规水源配置利用，推动污水再生循环化利用，推进海绵城市建设。推进原材料节约和资源循环利用，推动退役风电、光伏设备、动力电池循环利用，加强废钢铁、废有色金属等回收利用。到2035年，能源和水资源利用效率达到国际先进水平。</w:t>
      </w:r>
    </w:p>
    <w:p>
      <w:pPr>
        <w:pStyle w:val="2"/>
        <w:spacing w:line="580" w:lineRule="exact"/>
        <w:outlineLvl w:val="1"/>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bookmarkStart w:id="7" w:name="_Toc9225"/>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（五）健全生态产品价值的实现机制</w:t>
      </w:r>
      <w:bookmarkEnd w:id="7"/>
    </w:p>
    <w:p>
      <w:pPr>
        <w:pStyle w:val="2"/>
        <w:spacing w:line="580" w:lineRule="exact"/>
        <w:rPr>
          <w:rFonts w:hint="eastAsia" w:ascii="黑体" w:hAnsi="黑体" w:eastAsia="黑体" w:cs="黑体"/>
          <w:b w:val="0"/>
          <w:bCs/>
          <w:color w:val="000000"/>
          <w:sz w:val="32"/>
          <w:szCs w:val="32"/>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加快推动乡村生态产品价值实现，形成一批具有山海特色、创新性、示范性的生态产品价值实现改革成果，让优良生态成为群众增收的增长点。推进森林提升、生态补偿、森林赎买、林业碳汇、质押贷款、资源管护等重点改革，加强林业碳汇产品的开发和交易机制研究，拓展林业生态产品价值实现、多元服务机制，探索推广莆田林改模式样板。到2030年，生态产品价值实现走在全国前列；到2035年，生态产品价值实现机制全面健全。</w:t>
      </w:r>
    </w:p>
    <w:p>
      <w:pPr>
        <w:keepNext w:val="0"/>
        <w:keepLines w:val="0"/>
        <w:pageBreakBefore w:val="0"/>
        <w:widowControl/>
        <w:kinsoku/>
        <w:wordWrap/>
        <w:overflowPunct/>
        <w:topLinePunct w:val="0"/>
        <w:bidi w:val="0"/>
        <w:adjustRightInd/>
        <w:snapToGrid/>
        <w:spacing w:line="580" w:lineRule="exact"/>
        <w:jc w:val="left"/>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rPr>
        <w:t>专栏</w:t>
      </w:r>
      <w:r>
        <w:rPr>
          <w:rFonts w:hint="eastAsia" w:ascii="黑体" w:hAnsi="黑体" w:eastAsia="黑体" w:cs="黑体"/>
          <w:b w:val="0"/>
          <w:bCs/>
          <w:color w:val="000000"/>
          <w:sz w:val="32"/>
          <w:szCs w:val="32"/>
          <w:lang w:val="en-US" w:eastAsia="zh-CN"/>
        </w:rPr>
        <w:t>1</w:t>
      </w:r>
      <w:r>
        <w:rPr>
          <w:rFonts w:hint="eastAsia" w:ascii="黑体" w:hAnsi="黑体" w:eastAsia="黑体" w:cs="黑体"/>
          <w:b w:val="0"/>
          <w:bCs/>
          <w:color w:val="000000"/>
          <w:sz w:val="32"/>
          <w:szCs w:val="32"/>
        </w:rPr>
        <w:t>：引领绿色低碳转型发展潮流</w:t>
      </w:r>
      <w:r>
        <w:rPr>
          <w:rFonts w:hint="eastAsia" w:ascii="黑体" w:hAnsi="黑体" w:eastAsia="黑体" w:cs="黑体"/>
          <w:b w:val="0"/>
          <w:bCs/>
          <w:color w:val="000000"/>
          <w:sz w:val="32"/>
          <w:szCs w:val="32"/>
          <w:lang w:val="en-US" w:eastAsia="zh-CN"/>
        </w:rPr>
        <w:t>具体行动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91" w:hRule="atLeast"/>
          <w:jc w:val="center"/>
        </w:trPr>
        <w:tc>
          <w:tcPr>
            <w:tcW w:w="8671" w:type="dxa"/>
            <w:noWrap w:val="0"/>
            <w:vAlign w:val="center"/>
          </w:tcPr>
          <w:p>
            <w:pPr>
              <w:keepNext w:val="0"/>
              <w:keepLines w:val="0"/>
              <w:pageBreakBefore w:val="0"/>
              <w:widowControl w:val="0"/>
              <w:suppressLineNumbers w:val="0"/>
              <w:kinsoku/>
              <w:wordWrap/>
              <w:topLinePunct w:val="0"/>
              <w:bidi w:val="0"/>
              <w:adjustRightInd w:val="0"/>
              <w:snapToGrid w:val="0"/>
              <w:spacing w:before="0" w:beforeAutospacing="0" w:after="0" w:afterAutospacing="0" w:line="590" w:lineRule="exact"/>
              <w:ind w:left="155" w:right="155" w:rightChars="50" w:firstLine="560"/>
              <w:rPr>
                <w:rFonts w:hint="eastAsia" w:ascii="楷体_GB2312" w:hAnsi="楷体_GB2312" w:eastAsia="楷体_GB2312" w:cs="楷体_GB2312"/>
                <w:color w:val="000000"/>
                <w:sz w:val="28"/>
                <w:szCs w:val="28"/>
              </w:rPr>
            </w:pPr>
            <w:r>
              <w:rPr>
                <w:rFonts w:hint="eastAsia" w:ascii="仿宋_GB2312" w:hAnsi="仿宋_GB2312" w:eastAsia="仿宋_GB2312" w:cs="仿宋_GB2312"/>
                <w:b/>
                <w:color w:val="000000"/>
                <w:sz w:val="28"/>
                <w:szCs w:val="28"/>
              </w:rPr>
              <w:t>①水源涵养能力提升</w:t>
            </w:r>
            <w:r>
              <w:rPr>
                <w:rFonts w:hint="eastAsia" w:ascii="仿宋_GB2312" w:hAnsi="仿宋_GB2312" w:eastAsia="仿宋_GB2312" w:cs="仿宋_GB2312"/>
                <w:b/>
                <w:color w:val="000000"/>
                <w:sz w:val="28"/>
                <w:szCs w:val="28"/>
                <w:lang w:val="en-US" w:eastAsia="zh-CN"/>
              </w:rPr>
              <w:t>行动</w:t>
            </w:r>
            <w:r>
              <w:rPr>
                <w:rFonts w:hint="eastAsia" w:ascii="仿宋_GB2312" w:hAnsi="仿宋_GB2312" w:eastAsia="仿宋_GB2312" w:cs="仿宋_GB2312"/>
                <w:b/>
                <w:color w:val="000000"/>
                <w:sz w:val="28"/>
                <w:szCs w:val="28"/>
              </w:rPr>
              <w:t>。</w:t>
            </w:r>
            <w:r>
              <w:rPr>
                <w:rFonts w:hint="eastAsia" w:ascii="仿宋_GB2312" w:hAnsi="仿宋_GB2312" w:eastAsia="仿宋_GB2312" w:cs="仿宋_GB2312"/>
                <w:color w:val="000000"/>
                <w:sz w:val="28"/>
                <w:szCs w:val="28"/>
              </w:rPr>
              <w:t>科学实施坡耕地保护和水土流失综合治理，优化水源涵养林结构，实施重点流域源头区涵养林保护建设，禁止在一级水源保护区等范围内选址补充耕地项目，保护生态、涵养水源</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到2035年完成水源涵养林提升1万亩。</w:t>
            </w:r>
            <w:r>
              <w:rPr>
                <w:rFonts w:hint="eastAsia" w:ascii="楷体_GB2312" w:hAnsi="楷体_GB2312" w:eastAsia="楷体_GB2312" w:cs="楷体_GB2312"/>
                <w:color w:val="000000"/>
                <w:sz w:val="28"/>
                <w:szCs w:val="28"/>
              </w:rPr>
              <w:t>（责任单位：市水利局、林业局、自然资源局等按职责分工负责）</w:t>
            </w:r>
          </w:p>
          <w:p>
            <w:pPr>
              <w:keepNext w:val="0"/>
              <w:keepLines w:val="0"/>
              <w:pageBreakBefore w:val="0"/>
              <w:widowControl w:val="0"/>
              <w:suppressLineNumbers w:val="0"/>
              <w:kinsoku/>
              <w:wordWrap/>
              <w:topLinePunct w:val="0"/>
              <w:bidi w:val="0"/>
              <w:adjustRightInd w:val="0"/>
              <w:snapToGrid w:val="0"/>
              <w:spacing w:before="0" w:beforeAutospacing="0" w:after="0" w:afterAutospacing="0" w:line="590" w:lineRule="exact"/>
              <w:ind w:left="155" w:leftChars="50" w:right="155" w:rightChars="50" w:firstLine="562" w:firstLineChars="200"/>
              <w:rPr>
                <w:rFonts w:hint="eastAsia" w:ascii="楷体_GB2312" w:hAnsi="楷体_GB2312" w:eastAsia="楷体_GB2312" w:cs="楷体_GB2312"/>
                <w:color w:val="000000"/>
                <w:sz w:val="28"/>
                <w:szCs w:val="28"/>
              </w:rPr>
            </w:pPr>
            <w:r>
              <w:rPr>
                <w:rFonts w:hint="eastAsia" w:ascii="仿宋_GB2312" w:hAnsi="仿宋_GB2312" w:eastAsia="仿宋_GB2312" w:cs="仿宋_GB2312"/>
                <w:b/>
                <w:bCs/>
                <w:color w:val="000000"/>
                <w:sz w:val="28"/>
                <w:szCs w:val="28"/>
              </w:rPr>
              <w:t>②水资源优化配置</w:t>
            </w:r>
            <w:r>
              <w:rPr>
                <w:rFonts w:hint="eastAsia" w:ascii="仿宋_GB2312" w:hAnsi="仿宋_GB2312" w:eastAsia="仿宋_GB2312" w:cs="仿宋_GB2312"/>
                <w:b/>
                <w:color w:val="000000"/>
                <w:sz w:val="28"/>
                <w:szCs w:val="28"/>
                <w:lang w:val="en-US" w:eastAsia="zh-CN"/>
              </w:rPr>
              <w:t>行动</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color w:val="000000"/>
                <w:sz w:val="28"/>
                <w:szCs w:val="28"/>
              </w:rPr>
              <w:t>实施水资源配置统一管理，</w:t>
            </w:r>
            <w:r>
              <w:rPr>
                <w:rFonts w:hint="eastAsia" w:ascii="仿宋_GB2312" w:hAnsi="仿宋_GB2312" w:eastAsia="仿宋_GB2312" w:cs="仿宋_GB2312"/>
                <w:color w:val="000000"/>
                <w:sz w:val="28"/>
                <w:szCs w:val="28"/>
                <w:lang w:val="en-US" w:eastAsia="zh-CN"/>
              </w:rPr>
              <w:t>主动融入</w:t>
            </w:r>
            <w:r>
              <w:rPr>
                <w:rFonts w:hint="eastAsia" w:ascii="仿宋_GB2312" w:hAnsi="仿宋_GB2312" w:eastAsia="仿宋_GB2312" w:cs="仿宋_GB2312"/>
                <w:color w:val="000000"/>
                <w:sz w:val="28"/>
                <w:szCs w:val="28"/>
              </w:rPr>
              <w:t>闽东北协同发展区水资源统筹调配，积极推进闽江口城市群水资源配置提质增效工程，构建山海统筹、南北互通、丰枯调剂、多源互补的现代化水网。</w:t>
            </w:r>
            <w:r>
              <w:rPr>
                <w:rFonts w:hint="eastAsia" w:ascii="楷体_GB2312" w:hAnsi="楷体_GB2312" w:eastAsia="楷体_GB2312" w:cs="楷体_GB2312"/>
                <w:color w:val="000000"/>
                <w:sz w:val="28"/>
                <w:szCs w:val="28"/>
              </w:rPr>
              <w:t>（责任单位：市水利局、发改委等按职责分工负责）</w:t>
            </w:r>
          </w:p>
          <w:p>
            <w:pPr>
              <w:keepNext w:val="0"/>
              <w:keepLines w:val="0"/>
              <w:pageBreakBefore w:val="0"/>
              <w:widowControl w:val="0"/>
              <w:suppressLineNumbers w:val="0"/>
              <w:kinsoku/>
              <w:wordWrap/>
              <w:topLinePunct w:val="0"/>
              <w:bidi w:val="0"/>
              <w:adjustRightInd w:val="0"/>
              <w:snapToGrid w:val="0"/>
              <w:spacing w:before="0" w:beforeAutospacing="0" w:after="0" w:afterAutospacing="0" w:line="590" w:lineRule="exact"/>
              <w:ind w:left="155" w:leftChars="50" w:right="155" w:rightChars="50" w:firstLine="562" w:firstLineChars="200"/>
              <w:rPr>
                <w:rFonts w:hint="eastAsia" w:ascii="楷体_GB2312" w:hAnsi="楷体_GB2312" w:eastAsia="楷体_GB2312" w:cs="楷体_GB2312"/>
                <w:color w:val="000000"/>
                <w:sz w:val="28"/>
                <w:szCs w:val="28"/>
              </w:rPr>
            </w:pPr>
            <w:r>
              <w:rPr>
                <w:rFonts w:hint="eastAsia" w:ascii="仿宋_GB2312" w:hAnsi="仿宋_GB2312" w:eastAsia="仿宋_GB2312" w:cs="仿宋_GB2312"/>
                <w:b/>
                <w:bCs/>
                <w:color w:val="000000"/>
                <w:sz w:val="28"/>
                <w:szCs w:val="28"/>
              </w:rPr>
              <w:t>③水资源节约利用</w:t>
            </w:r>
            <w:r>
              <w:rPr>
                <w:rFonts w:hint="eastAsia" w:ascii="仿宋_GB2312" w:hAnsi="仿宋_GB2312" w:eastAsia="仿宋_GB2312" w:cs="仿宋_GB2312"/>
                <w:b/>
                <w:color w:val="000000"/>
                <w:sz w:val="28"/>
                <w:szCs w:val="28"/>
                <w:lang w:val="en-US" w:eastAsia="zh-CN"/>
              </w:rPr>
              <w:t>行动</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color w:val="000000"/>
                <w:sz w:val="28"/>
                <w:szCs w:val="28"/>
              </w:rPr>
              <w:t>实施农业节水增效、工业节水减排、城镇节水降损、主城区节水开源、节水标杆示范引领工程，建设再生水循环利用示范工程，</w:t>
            </w:r>
            <w:r>
              <w:rPr>
                <w:rFonts w:hint="eastAsia" w:ascii="仿宋_GB2312" w:hAnsi="仿宋_GB2312" w:eastAsia="仿宋_GB2312" w:cs="仿宋_GB2312"/>
                <w:color w:val="000000"/>
                <w:sz w:val="28"/>
                <w:szCs w:val="28"/>
                <w:lang w:val="en-US" w:eastAsia="zh-CN"/>
              </w:rPr>
              <w:t>到2035年实现</w:t>
            </w:r>
            <w:r>
              <w:rPr>
                <w:rFonts w:hint="eastAsia" w:ascii="仿宋_GB2312" w:hAnsi="仿宋_GB2312" w:eastAsia="仿宋_GB2312" w:cs="仿宋_GB2312"/>
                <w:color w:val="000000"/>
                <w:sz w:val="28"/>
                <w:szCs w:val="28"/>
              </w:rPr>
              <w:t>再生水利用率超过</w:t>
            </w:r>
            <w:r>
              <w:rPr>
                <w:rFonts w:hint="eastAsia" w:ascii="仿宋_GB2312" w:hAnsi="仿宋_GB2312" w:eastAsia="仿宋_GB2312" w:cs="仿宋_GB2312"/>
                <w:color w:val="000000"/>
                <w:sz w:val="28"/>
                <w:szCs w:val="28"/>
                <w:lang w:val="en-US" w:eastAsia="zh-CN"/>
              </w:rPr>
              <w:t>70</w:t>
            </w:r>
            <w:r>
              <w:rPr>
                <w:rFonts w:hint="eastAsia" w:ascii="仿宋_GB2312" w:hAnsi="仿宋_GB2312" w:eastAsia="仿宋_GB2312" w:cs="仿宋_GB2312"/>
                <w:color w:val="000000"/>
                <w:sz w:val="28"/>
                <w:szCs w:val="28"/>
              </w:rPr>
              <w:t>%。</w:t>
            </w:r>
            <w:r>
              <w:rPr>
                <w:rFonts w:hint="eastAsia" w:ascii="楷体_GB2312" w:hAnsi="楷体_GB2312" w:eastAsia="楷体_GB2312" w:cs="楷体_GB2312"/>
                <w:color w:val="000000"/>
                <w:sz w:val="28"/>
                <w:szCs w:val="28"/>
              </w:rPr>
              <w:t>（责任单位：市水利局、工信局、农业农村局、住建局、发改委等按职责分工负责）</w:t>
            </w:r>
          </w:p>
          <w:p>
            <w:pPr>
              <w:keepNext w:val="0"/>
              <w:keepLines w:val="0"/>
              <w:pageBreakBefore w:val="0"/>
              <w:widowControl w:val="0"/>
              <w:suppressLineNumbers w:val="0"/>
              <w:kinsoku/>
              <w:wordWrap/>
              <w:topLinePunct w:val="0"/>
              <w:bidi w:val="0"/>
              <w:adjustRightInd w:val="0"/>
              <w:snapToGrid w:val="0"/>
              <w:spacing w:before="0" w:beforeAutospacing="0" w:after="0" w:afterAutospacing="0" w:line="590" w:lineRule="exact"/>
              <w:ind w:left="155" w:leftChars="50" w:right="155" w:rightChars="50" w:firstLine="562" w:firstLineChars="200"/>
              <w:rPr>
                <w:rFonts w:hint="eastAsia" w:ascii="楷体_GB2312" w:hAnsi="楷体_GB2312" w:eastAsia="楷体_GB2312" w:cs="楷体_GB2312"/>
                <w:color w:val="000000"/>
                <w:sz w:val="28"/>
                <w:szCs w:val="28"/>
              </w:rPr>
            </w:pPr>
            <w:r>
              <w:rPr>
                <w:rFonts w:hint="eastAsia" w:ascii="仿宋_GB2312" w:hAnsi="仿宋_GB2312" w:eastAsia="仿宋_GB2312" w:cs="仿宋_GB2312"/>
                <w:b/>
                <w:bCs/>
                <w:color w:val="000000"/>
                <w:sz w:val="28"/>
                <w:szCs w:val="28"/>
              </w:rPr>
              <w:t>④湿地碳汇能力提升</w:t>
            </w:r>
            <w:r>
              <w:rPr>
                <w:rFonts w:hint="eastAsia" w:ascii="仿宋_GB2312" w:hAnsi="仿宋_GB2312" w:eastAsia="仿宋_GB2312" w:cs="仿宋_GB2312"/>
                <w:b/>
                <w:color w:val="000000"/>
                <w:sz w:val="28"/>
                <w:szCs w:val="28"/>
                <w:lang w:val="en-US" w:eastAsia="zh-CN"/>
              </w:rPr>
              <w:t>行动</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color w:val="000000"/>
                <w:sz w:val="28"/>
                <w:szCs w:val="28"/>
              </w:rPr>
              <w:t>在木兰溪河口、河流交汇处等敏感区域，因地制宜建设人工湿地，构建适宜的湿地动植物群落，不断提升湿地生态系统碳汇能力和净化功能。</w:t>
            </w:r>
            <w:r>
              <w:rPr>
                <w:rFonts w:hint="eastAsia" w:ascii="楷体_GB2312" w:hAnsi="楷体_GB2312" w:eastAsia="楷体_GB2312" w:cs="楷体_GB2312"/>
                <w:color w:val="000000"/>
                <w:sz w:val="28"/>
                <w:szCs w:val="28"/>
              </w:rPr>
              <w:t>（责任单位：市水利局、</w:t>
            </w:r>
            <w:r>
              <w:rPr>
                <w:rFonts w:hint="eastAsia" w:ascii="楷体_GB2312" w:hAnsi="楷体_GB2312" w:eastAsia="楷体_GB2312" w:cs="楷体_GB2312"/>
                <w:color w:val="000000"/>
                <w:sz w:val="28"/>
                <w:szCs w:val="28"/>
                <w:lang w:val="en-US" w:eastAsia="zh-CN"/>
              </w:rPr>
              <w:t>林业局、</w:t>
            </w:r>
            <w:r>
              <w:rPr>
                <w:rFonts w:hint="eastAsia" w:ascii="楷体_GB2312" w:hAnsi="楷体_GB2312" w:eastAsia="楷体_GB2312" w:cs="楷体_GB2312"/>
                <w:color w:val="000000"/>
                <w:sz w:val="28"/>
                <w:szCs w:val="28"/>
              </w:rPr>
              <w:t>生态环境局、海洋渔业局、发改委等按职责分工负责）</w:t>
            </w:r>
          </w:p>
          <w:p>
            <w:pPr>
              <w:keepNext w:val="0"/>
              <w:keepLines w:val="0"/>
              <w:pageBreakBefore w:val="0"/>
              <w:widowControl w:val="0"/>
              <w:suppressLineNumbers w:val="0"/>
              <w:kinsoku/>
              <w:wordWrap/>
              <w:topLinePunct w:val="0"/>
              <w:bidi w:val="0"/>
              <w:adjustRightInd w:val="0"/>
              <w:snapToGrid w:val="0"/>
              <w:spacing w:before="0" w:beforeAutospacing="0" w:after="0" w:afterAutospacing="0" w:line="590" w:lineRule="exact"/>
              <w:ind w:left="155" w:leftChars="50" w:right="155" w:rightChars="50" w:firstLine="562" w:firstLineChars="200"/>
              <w:rPr>
                <w:rFonts w:hint="eastAsia" w:ascii="楷体_GB2312" w:hAnsi="楷体_GB2312" w:eastAsia="楷体_GB2312" w:cs="楷体_GB2312"/>
                <w:color w:val="000000"/>
                <w:sz w:val="28"/>
                <w:szCs w:val="28"/>
              </w:rPr>
            </w:pPr>
            <w:r>
              <w:rPr>
                <w:rFonts w:hint="eastAsia" w:ascii="仿宋_GB2312" w:hAnsi="仿宋_GB2312" w:eastAsia="仿宋_GB2312" w:cs="仿宋_GB2312"/>
                <w:b/>
                <w:bCs/>
                <w:color w:val="000000"/>
                <w:sz w:val="28"/>
                <w:szCs w:val="28"/>
              </w:rPr>
              <w:t>⑤河湖缓冲带建设</w:t>
            </w:r>
            <w:r>
              <w:rPr>
                <w:rFonts w:hint="eastAsia" w:ascii="仿宋_GB2312" w:hAnsi="仿宋_GB2312" w:eastAsia="仿宋_GB2312" w:cs="仿宋_GB2312"/>
                <w:b/>
                <w:color w:val="000000"/>
                <w:sz w:val="28"/>
                <w:szCs w:val="28"/>
                <w:lang w:val="en-US" w:eastAsia="zh-CN"/>
              </w:rPr>
              <w:t>行动</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color w:val="000000"/>
                <w:sz w:val="28"/>
                <w:szCs w:val="28"/>
              </w:rPr>
              <w:t>合理规划布局河湖生态缓冲带，实施岸线修复、植被恢复、水岸带生态阻隔等综合治理措施，推进河湖缓冲带建设，排查并修复受损河湖生态缓冲带。</w:t>
            </w:r>
            <w:r>
              <w:rPr>
                <w:rFonts w:hint="eastAsia" w:ascii="楷体_GB2312" w:hAnsi="楷体_GB2312" w:eastAsia="楷体_GB2312" w:cs="楷体_GB2312"/>
                <w:color w:val="000000"/>
                <w:sz w:val="28"/>
                <w:szCs w:val="28"/>
              </w:rPr>
              <w:t>（责任单位：市生态环境局、水利局等按职责分工负责）</w:t>
            </w:r>
          </w:p>
          <w:p>
            <w:pPr>
              <w:keepNext w:val="0"/>
              <w:keepLines w:val="0"/>
              <w:pageBreakBefore w:val="0"/>
              <w:widowControl w:val="0"/>
              <w:suppressLineNumbers w:val="0"/>
              <w:kinsoku/>
              <w:wordWrap/>
              <w:topLinePunct w:val="0"/>
              <w:bidi w:val="0"/>
              <w:adjustRightInd w:val="0"/>
              <w:snapToGrid w:val="0"/>
              <w:spacing w:before="0" w:beforeAutospacing="0" w:after="0" w:afterAutospacing="0" w:line="590" w:lineRule="exact"/>
              <w:ind w:left="155" w:leftChars="50" w:right="155" w:rightChars="50" w:firstLine="562" w:firstLineChars="200"/>
              <w:rPr>
                <w:rFonts w:hint="eastAsia"/>
                <w:color w:val="000000"/>
              </w:rPr>
            </w:pPr>
            <w:r>
              <w:rPr>
                <w:rFonts w:hint="eastAsia" w:ascii="仿宋_GB2312" w:hAnsi="仿宋_GB2312" w:eastAsia="仿宋_GB2312" w:cs="仿宋_GB2312"/>
                <w:b/>
                <w:bCs/>
                <w:color w:val="000000"/>
                <w:sz w:val="28"/>
                <w:szCs w:val="28"/>
              </w:rPr>
              <w:t>⑥生态景观品质提升行动。</w:t>
            </w:r>
            <w:r>
              <w:rPr>
                <w:rFonts w:hint="eastAsia" w:ascii="仿宋_GB2312" w:hAnsi="仿宋_GB2312" w:eastAsia="仿宋_GB2312" w:cs="仿宋_GB2312"/>
                <w:color w:val="000000"/>
                <w:sz w:val="28"/>
                <w:szCs w:val="28"/>
              </w:rPr>
              <w:t>实施岸线生态化改造，因地制宜建设层次分明、自然过渡、生态健康的河滩公园、沙滩公园等亲水设施，提升水岸景观文化内涵。</w:t>
            </w:r>
            <w:r>
              <w:rPr>
                <w:rFonts w:hint="eastAsia" w:ascii="楷体_GB2312" w:hAnsi="楷体_GB2312" w:eastAsia="楷体_GB2312" w:cs="楷体_GB2312"/>
                <w:color w:val="000000"/>
                <w:sz w:val="28"/>
                <w:szCs w:val="28"/>
              </w:rPr>
              <w:t>（责任单位：市自然资源局、生态环境局、住建局、水利局等按职责分工负责）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155" w:right="155" w:rightChars="50" w:firstLine="562"/>
              <w:textAlignment w:val="auto"/>
              <w:rPr>
                <w:rFonts w:hint="eastAsia" w:ascii="楷体_GB2312" w:hAnsi="楷体_GB2312" w:eastAsia="楷体_GB2312" w:cs="楷体_GB2312"/>
                <w:b w:val="0"/>
                <w:bCs w:val="0"/>
                <w:color w:val="000000"/>
                <w:sz w:val="28"/>
                <w:szCs w:val="28"/>
              </w:rPr>
            </w:pPr>
            <w:r>
              <w:rPr>
                <w:rFonts w:hint="eastAsia" w:ascii="仿宋_GB2312" w:hAnsi="仿宋_GB2312" w:eastAsia="仿宋_GB2312" w:cs="仿宋_GB2312"/>
                <w:b/>
                <w:bCs/>
                <w:color w:val="000000"/>
                <w:sz w:val="28"/>
                <w:szCs w:val="28"/>
              </w:rPr>
              <w:t>⑦“集约</w:t>
            </w:r>
            <w:r>
              <w:rPr>
                <w:rFonts w:hint="eastAsia" w:ascii="仿宋_GB2312" w:hAnsi="仿宋_GB2312" w:eastAsia="仿宋_GB2312" w:cs="仿宋_GB2312"/>
                <w:b/>
                <w:color w:val="000000"/>
                <w:sz w:val="28"/>
                <w:szCs w:val="28"/>
              </w:rPr>
              <w:t>园区”建设行动。</w:t>
            </w:r>
            <w:r>
              <w:rPr>
                <w:rFonts w:hint="eastAsia" w:ascii="仿宋_GB2312" w:hAnsi="仿宋_GB2312" w:eastAsia="仿宋_GB2312" w:cs="仿宋_GB2312"/>
                <w:b w:val="0"/>
                <w:bCs/>
                <w:color w:val="000000"/>
                <w:sz w:val="28"/>
                <w:szCs w:val="28"/>
              </w:rPr>
              <w:t>落实园区生态环境分区管控要求，强化园区规划环评和入园项目生态环境分区管控要求符合性分析，优化园区产业布局、空间布局</w:t>
            </w:r>
            <w:r>
              <w:rPr>
                <w:rFonts w:hint="eastAsia" w:ascii="仿宋_GB2312" w:hAnsi="仿宋_GB2312" w:eastAsia="仿宋_GB2312" w:cs="仿宋_GB2312"/>
                <w:b w:val="0"/>
                <w:bCs/>
                <w:color w:val="000000"/>
                <w:sz w:val="28"/>
                <w:szCs w:val="28"/>
                <w:lang w:eastAsia="zh-CN"/>
              </w:rPr>
              <w:t>，</w:t>
            </w:r>
            <w:r>
              <w:rPr>
                <w:rFonts w:hint="eastAsia" w:ascii="仿宋_GB2312" w:hAnsi="仿宋_GB2312" w:eastAsia="仿宋_GB2312" w:cs="仿宋_GB2312"/>
                <w:color w:val="000000"/>
                <w:sz w:val="28"/>
                <w:szCs w:val="28"/>
              </w:rPr>
              <w:t>统筹园区用地指标，以‘亩均论英雄’为导向，盘活空间资源，提高产业用地综合利用率，加强园区基础设施等配套建设。鼓励全市各产业园区，重点是省级及以上开发区，对照“节能减排型”“低碳循环型”“人产和谐型”三种类型，各有侧重、循序渐进，积极参与美丽园区建设。</w:t>
            </w:r>
            <w:r>
              <w:rPr>
                <w:rFonts w:hint="eastAsia" w:ascii="楷体_GB2312" w:hAnsi="楷体_GB2312" w:eastAsia="楷体_GB2312" w:cs="楷体_GB2312"/>
                <w:b w:val="0"/>
                <w:bCs w:val="0"/>
                <w:color w:val="000000"/>
                <w:sz w:val="28"/>
                <w:szCs w:val="28"/>
              </w:rPr>
              <w:t>（责任单位：</w:t>
            </w:r>
            <w:r>
              <w:rPr>
                <w:rFonts w:hint="eastAsia" w:ascii="楷体_GB2312" w:hAnsi="楷体_GB2312" w:eastAsia="楷体_GB2312" w:cs="楷体_GB2312"/>
                <w:b w:val="0"/>
                <w:bCs w:val="0"/>
                <w:color w:val="000000"/>
                <w:sz w:val="28"/>
                <w:szCs w:val="28"/>
                <w:lang w:eastAsia="zh-CN"/>
              </w:rPr>
              <w:t>市发改委</w:t>
            </w:r>
            <w:r>
              <w:rPr>
                <w:rFonts w:hint="eastAsia" w:ascii="楷体_GB2312" w:hAnsi="楷体_GB2312" w:eastAsia="楷体_GB2312" w:cs="楷体_GB2312"/>
                <w:b w:val="0"/>
                <w:bCs w:val="0"/>
                <w:color w:val="000000"/>
                <w:sz w:val="28"/>
                <w:szCs w:val="28"/>
              </w:rPr>
              <w:t>、</w:t>
            </w:r>
            <w:r>
              <w:rPr>
                <w:rFonts w:hint="eastAsia" w:ascii="楷体_GB2312" w:hAnsi="楷体_GB2312" w:eastAsia="楷体_GB2312" w:cs="楷体_GB2312"/>
                <w:b w:val="0"/>
                <w:bCs w:val="0"/>
                <w:color w:val="000000"/>
                <w:sz w:val="28"/>
                <w:szCs w:val="28"/>
                <w:lang w:val="en-US" w:eastAsia="zh-CN"/>
              </w:rPr>
              <w:t>工信</w:t>
            </w:r>
            <w:r>
              <w:rPr>
                <w:rFonts w:hint="eastAsia" w:ascii="楷体_GB2312" w:hAnsi="楷体_GB2312" w:eastAsia="楷体_GB2312" w:cs="楷体_GB2312"/>
                <w:b w:val="0"/>
                <w:bCs w:val="0"/>
                <w:color w:val="000000"/>
                <w:sz w:val="28"/>
                <w:szCs w:val="28"/>
                <w:lang w:eastAsia="zh-CN"/>
              </w:rPr>
              <w:t>局</w:t>
            </w:r>
            <w:r>
              <w:rPr>
                <w:rFonts w:hint="eastAsia" w:ascii="楷体_GB2312" w:hAnsi="楷体_GB2312" w:eastAsia="楷体_GB2312" w:cs="楷体_GB2312"/>
                <w:b w:val="0"/>
                <w:bCs w:val="0"/>
                <w:color w:val="000000"/>
                <w:sz w:val="28"/>
                <w:szCs w:val="28"/>
              </w:rPr>
              <w:t>、</w:t>
            </w:r>
            <w:r>
              <w:rPr>
                <w:rFonts w:hint="eastAsia" w:ascii="楷体_GB2312" w:hAnsi="楷体_GB2312" w:eastAsia="楷体_GB2312" w:cs="楷体_GB2312"/>
                <w:b w:val="0"/>
                <w:bCs w:val="0"/>
                <w:color w:val="000000"/>
                <w:sz w:val="28"/>
                <w:szCs w:val="28"/>
                <w:lang w:eastAsia="zh-CN"/>
              </w:rPr>
              <w:t>自然资源局</w:t>
            </w:r>
            <w:r>
              <w:rPr>
                <w:rFonts w:hint="eastAsia" w:ascii="楷体_GB2312" w:hAnsi="楷体_GB2312" w:eastAsia="楷体_GB2312" w:cs="楷体_GB2312"/>
                <w:b w:val="0"/>
                <w:bCs w:val="0"/>
                <w:color w:val="000000"/>
                <w:sz w:val="28"/>
                <w:szCs w:val="28"/>
              </w:rPr>
              <w:t>、</w:t>
            </w:r>
            <w:r>
              <w:rPr>
                <w:rFonts w:hint="eastAsia" w:ascii="楷体_GB2312" w:hAnsi="楷体_GB2312" w:eastAsia="楷体_GB2312" w:cs="楷体_GB2312"/>
                <w:b w:val="0"/>
                <w:bCs w:val="0"/>
                <w:color w:val="000000"/>
                <w:sz w:val="28"/>
                <w:szCs w:val="28"/>
                <w:lang w:eastAsia="zh-CN"/>
              </w:rPr>
              <w:t>生态环境局</w:t>
            </w:r>
            <w:r>
              <w:rPr>
                <w:rFonts w:hint="eastAsia" w:ascii="楷体_GB2312" w:hAnsi="楷体_GB2312" w:eastAsia="楷体_GB2312" w:cs="楷体_GB2312"/>
                <w:b w:val="0"/>
                <w:bCs w:val="0"/>
                <w:color w:val="000000"/>
                <w:sz w:val="28"/>
                <w:szCs w:val="28"/>
              </w:rPr>
              <w:t>等按职责分工负责）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155" w:leftChars="50" w:right="155" w:rightChars="50" w:firstLine="562"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⑧“无废园区”建设行动。</w:t>
            </w:r>
            <w:r>
              <w:rPr>
                <w:rFonts w:hint="eastAsia" w:ascii="仿宋_GB2312" w:hAnsi="仿宋_GB2312" w:eastAsia="仿宋_GB2312" w:cs="仿宋_GB2312"/>
                <w:color w:val="000000"/>
                <w:sz w:val="28"/>
                <w:szCs w:val="28"/>
              </w:rPr>
              <w:t>将“资源循环利用”纳入年度市级科技计划项目申报指南。加快推进先进适用回收技术、资源综合利用技术的推广应用，大幅降低单位工业增加值固废产生量，提升固废利用水平。</w:t>
            </w:r>
            <w:r>
              <w:rPr>
                <w:rFonts w:hint="eastAsia" w:ascii="楷体_GB2312" w:hAnsi="楷体_GB2312" w:eastAsia="楷体_GB2312" w:cs="楷体_GB2312"/>
                <w:b w:val="0"/>
                <w:bCs w:val="0"/>
                <w:color w:val="000000"/>
                <w:sz w:val="28"/>
                <w:szCs w:val="28"/>
              </w:rPr>
              <w:t>（责任单位：</w:t>
            </w:r>
            <w:r>
              <w:rPr>
                <w:rFonts w:hint="eastAsia" w:ascii="楷体_GB2312" w:hAnsi="楷体_GB2312" w:eastAsia="楷体_GB2312" w:cs="楷体_GB2312"/>
                <w:b w:val="0"/>
                <w:bCs w:val="0"/>
                <w:color w:val="000000"/>
                <w:sz w:val="28"/>
                <w:szCs w:val="28"/>
                <w:lang w:eastAsia="zh-CN"/>
              </w:rPr>
              <w:t>市生态环境局</w:t>
            </w:r>
            <w:r>
              <w:rPr>
                <w:rFonts w:hint="eastAsia" w:ascii="楷体_GB2312" w:hAnsi="楷体_GB2312" w:eastAsia="楷体_GB2312" w:cs="楷体_GB2312"/>
                <w:b w:val="0"/>
                <w:bCs w:val="0"/>
                <w:color w:val="000000"/>
                <w:sz w:val="28"/>
                <w:szCs w:val="28"/>
              </w:rPr>
              <w:t>、发改委、</w:t>
            </w:r>
            <w:r>
              <w:rPr>
                <w:rFonts w:hint="eastAsia" w:ascii="楷体_GB2312" w:hAnsi="楷体_GB2312" w:eastAsia="楷体_GB2312" w:cs="楷体_GB2312"/>
                <w:b w:val="0"/>
                <w:bCs w:val="0"/>
                <w:color w:val="000000"/>
                <w:sz w:val="28"/>
                <w:szCs w:val="28"/>
                <w:lang w:eastAsia="zh-CN"/>
              </w:rPr>
              <w:t>工信局</w:t>
            </w:r>
            <w:r>
              <w:rPr>
                <w:rFonts w:hint="eastAsia" w:ascii="楷体_GB2312" w:hAnsi="楷体_GB2312" w:eastAsia="楷体_GB2312" w:cs="楷体_GB2312"/>
                <w:b w:val="0"/>
                <w:bCs w:val="0"/>
                <w:color w:val="000000"/>
                <w:sz w:val="28"/>
                <w:szCs w:val="28"/>
              </w:rPr>
              <w:t>、</w:t>
            </w:r>
            <w:r>
              <w:rPr>
                <w:rFonts w:hint="eastAsia" w:ascii="楷体_GB2312" w:hAnsi="楷体_GB2312" w:eastAsia="楷体_GB2312" w:cs="楷体_GB2312"/>
                <w:b w:val="0"/>
                <w:bCs w:val="0"/>
                <w:color w:val="000000"/>
                <w:sz w:val="28"/>
                <w:szCs w:val="28"/>
                <w:lang w:eastAsia="zh-CN"/>
              </w:rPr>
              <w:t>科技局</w:t>
            </w:r>
            <w:r>
              <w:rPr>
                <w:rFonts w:hint="eastAsia" w:ascii="楷体_GB2312" w:hAnsi="楷体_GB2312" w:eastAsia="楷体_GB2312" w:cs="楷体_GB2312"/>
                <w:b w:val="0"/>
                <w:bCs w:val="0"/>
                <w:color w:val="000000"/>
                <w:sz w:val="28"/>
                <w:szCs w:val="28"/>
              </w:rPr>
              <w:t>等按职责分工负责）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155" w:leftChars="50" w:right="155" w:rightChars="50" w:firstLine="562" w:firstLineChars="200"/>
              <w:textAlignment w:val="auto"/>
              <w:rPr>
                <w:rFonts w:hint="eastAsia" w:ascii="楷体_GB2312" w:hAnsi="楷体_GB2312" w:eastAsia="楷体_GB2312" w:cs="楷体_GB2312"/>
                <w:b w:val="0"/>
                <w:bCs w:val="0"/>
                <w:color w:val="000000"/>
                <w:sz w:val="28"/>
                <w:szCs w:val="28"/>
              </w:rPr>
            </w:pPr>
            <w:r>
              <w:rPr>
                <w:rFonts w:hint="eastAsia" w:ascii="仿宋_GB2312" w:hAnsi="仿宋_GB2312" w:eastAsia="仿宋_GB2312" w:cs="仿宋_GB2312"/>
                <w:b/>
                <w:bCs/>
                <w:color w:val="000000"/>
                <w:sz w:val="28"/>
                <w:szCs w:val="28"/>
              </w:rPr>
              <w:t>⑨能效领跑者引领行动。</w:t>
            </w:r>
            <w:r>
              <w:rPr>
                <w:rFonts w:hint="eastAsia" w:ascii="仿宋_GB2312" w:hAnsi="仿宋_GB2312" w:eastAsia="仿宋_GB2312" w:cs="仿宋_GB2312"/>
                <w:color w:val="000000"/>
                <w:sz w:val="28"/>
                <w:szCs w:val="28"/>
              </w:rPr>
              <w:t>加强企业节能管理，实施节能技术改造，鼓励采用高效、节能的设备，推进能源梯级利用，综合考虑行业能源消费量、节能潜力、能源计量统计基础、能效标准等情况，建设一批能源资源管理优化、利用高效的能效领跑者企业</w:t>
            </w:r>
            <w:r>
              <w:rPr>
                <w:rFonts w:hint="eastAsia" w:ascii="仿宋_GB2312" w:hAnsi="仿宋_GB2312" w:eastAsia="仿宋_GB2312" w:cs="仿宋_GB2312"/>
                <w:color w:val="000000"/>
                <w:sz w:val="28"/>
                <w:szCs w:val="28"/>
                <w:highlight w:val="none"/>
              </w:rPr>
              <w:t>。</w:t>
            </w:r>
            <w:r>
              <w:rPr>
                <w:rFonts w:hint="eastAsia" w:ascii="楷体_GB2312" w:hAnsi="楷体_GB2312" w:eastAsia="楷体_GB2312" w:cs="楷体_GB2312"/>
                <w:b w:val="0"/>
                <w:bCs w:val="0"/>
                <w:color w:val="000000"/>
                <w:sz w:val="28"/>
                <w:szCs w:val="28"/>
              </w:rPr>
              <w:t>（责任单位：</w:t>
            </w:r>
            <w:r>
              <w:rPr>
                <w:rFonts w:hint="eastAsia" w:ascii="楷体_GB2312" w:hAnsi="楷体_GB2312" w:eastAsia="楷体_GB2312" w:cs="楷体_GB2312"/>
                <w:b w:val="0"/>
                <w:bCs w:val="0"/>
                <w:color w:val="000000"/>
                <w:sz w:val="28"/>
                <w:szCs w:val="28"/>
                <w:lang w:eastAsia="zh-CN"/>
              </w:rPr>
              <w:t>市工信局</w:t>
            </w:r>
            <w:r>
              <w:rPr>
                <w:rFonts w:hint="eastAsia" w:ascii="楷体_GB2312" w:hAnsi="楷体_GB2312" w:eastAsia="楷体_GB2312" w:cs="楷体_GB2312"/>
                <w:b w:val="0"/>
                <w:bCs w:val="0"/>
                <w:color w:val="000000"/>
                <w:sz w:val="28"/>
                <w:szCs w:val="28"/>
              </w:rPr>
              <w:t>等按职责分工负责）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155" w:leftChars="50" w:right="155" w:rightChars="50" w:firstLine="562" w:firstLineChars="200"/>
              <w:textAlignment w:val="auto"/>
              <w:rPr>
                <w:rFonts w:hint="eastAsia" w:ascii="楷体_GB2312" w:hAnsi="楷体_GB2312" w:eastAsia="楷体_GB2312" w:cs="楷体_GB2312"/>
                <w:b w:val="0"/>
                <w:bCs w:val="0"/>
                <w:color w:val="000000"/>
                <w:sz w:val="28"/>
                <w:szCs w:val="28"/>
              </w:rPr>
            </w:pPr>
            <w:r>
              <w:rPr>
                <w:rFonts w:hint="eastAsia" w:ascii="仿宋_GB2312" w:hAnsi="仿宋_GB2312" w:eastAsia="仿宋_GB2312" w:cs="仿宋_GB2312"/>
                <w:b/>
                <w:bCs/>
                <w:color w:val="000000"/>
                <w:sz w:val="28"/>
                <w:szCs w:val="28"/>
              </w:rPr>
              <w:t>⑩循环园区改造行动。</w:t>
            </w:r>
            <w:r>
              <w:rPr>
                <w:rFonts w:hint="eastAsia" w:ascii="仿宋_GB2312" w:hAnsi="仿宋_GB2312" w:eastAsia="仿宋_GB2312" w:cs="仿宋_GB2312"/>
                <w:color w:val="000000"/>
                <w:sz w:val="28"/>
                <w:szCs w:val="28"/>
              </w:rPr>
              <w:t>将“资源循环利用</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工业园区污水处理</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或者生活污水处理</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关键技术研究与应用”纳入年度市级科技计划项目申报指南。支持综合利用型龙头骨干企业推进生产过程清洁化、废物循环资源化、能源利用高效化。按照再使用、再循环、减量化的原则，实施园区循环化改造，优化企业生产工艺、技术装备和产品结构，实施余热余压废热资源回收利用和水资源循环利用，建设园区智能微电网，提升园区绿色低碳循环发展水平。</w:t>
            </w:r>
            <w:r>
              <w:rPr>
                <w:rFonts w:hint="eastAsia" w:ascii="楷体_GB2312" w:hAnsi="楷体_GB2312" w:eastAsia="楷体_GB2312" w:cs="楷体_GB2312"/>
                <w:b w:val="0"/>
                <w:bCs w:val="0"/>
                <w:color w:val="000000"/>
                <w:sz w:val="28"/>
                <w:szCs w:val="28"/>
              </w:rPr>
              <w:t>（责任单位：</w:t>
            </w:r>
            <w:r>
              <w:rPr>
                <w:rFonts w:hint="eastAsia" w:ascii="楷体_GB2312" w:hAnsi="楷体_GB2312" w:eastAsia="楷体_GB2312" w:cs="楷体_GB2312"/>
                <w:b w:val="0"/>
                <w:bCs w:val="0"/>
                <w:color w:val="000000"/>
                <w:sz w:val="28"/>
                <w:szCs w:val="28"/>
                <w:lang w:eastAsia="zh-CN"/>
              </w:rPr>
              <w:t>市发改委</w:t>
            </w:r>
            <w:r>
              <w:rPr>
                <w:rFonts w:hint="eastAsia" w:ascii="楷体_GB2312" w:hAnsi="楷体_GB2312" w:eastAsia="楷体_GB2312" w:cs="楷体_GB2312"/>
                <w:b w:val="0"/>
                <w:bCs w:val="0"/>
                <w:color w:val="000000"/>
                <w:sz w:val="28"/>
                <w:szCs w:val="28"/>
              </w:rPr>
              <w:t>、</w:t>
            </w:r>
            <w:r>
              <w:rPr>
                <w:rFonts w:hint="eastAsia" w:ascii="楷体_GB2312" w:hAnsi="楷体_GB2312" w:eastAsia="楷体_GB2312" w:cs="楷体_GB2312"/>
                <w:b w:val="0"/>
                <w:bCs w:val="0"/>
                <w:color w:val="000000"/>
                <w:sz w:val="28"/>
                <w:szCs w:val="28"/>
                <w:lang w:eastAsia="zh-CN"/>
              </w:rPr>
              <w:t>工信局</w:t>
            </w:r>
            <w:r>
              <w:rPr>
                <w:rFonts w:hint="eastAsia" w:ascii="楷体_GB2312" w:hAnsi="楷体_GB2312" w:eastAsia="楷体_GB2312" w:cs="楷体_GB2312"/>
                <w:b w:val="0"/>
                <w:bCs w:val="0"/>
                <w:color w:val="000000"/>
                <w:sz w:val="28"/>
                <w:szCs w:val="28"/>
              </w:rPr>
              <w:t>、</w:t>
            </w:r>
            <w:r>
              <w:rPr>
                <w:rFonts w:hint="eastAsia" w:ascii="楷体_GB2312" w:hAnsi="楷体_GB2312" w:eastAsia="楷体_GB2312" w:cs="楷体_GB2312"/>
                <w:b w:val="0"/>
                <w:bCs w:val="0"/>
                <w:color w:val="000000"/>
                <w:sz w:val="28"/>
                <w:szCs w:val="28"/>
                <w:lang w:eastAsia="zh-CN"/>
              </w:rPr>
              <w:t>水利局</w:t>
            </w:r>
            <w:r>
              <w:rPr>
                <w:rFonts w:hint="eastAsia" w:ascii="楷体_GB2312" w:hAnsi="楷体_GB2312" w:eastAsia="楷体_GB2312" w:cs="楷体_GB2312"/>
                <w:b w:val="0"/>
                <w:bCs w:val="0"/>
                <w:color w:val="000000"/>
                <w:sz w:val="28"/>
                <w:szCs w:val="28"/>
              </w:rPr>
              <w:t>、</w:t>
            </w:r>
            <w:r>
              <w:rPr>
                <w:rFonts w:hint="eastAsia" w:ascii="楷体_GB2312" w:hAnsi="楷体_GB2312" w:eastAsia="楷体_GB2312" w:cs="楷体_GB2312"/>
                <w:b w:val="0"/>
                <w:bCs w:val="0"/>
                <w:color w:val="000000"/>
                <w:sz w:val="28"/>
                <w:szCs w:val="28"/>
                <w:lang w:eastAsia="zh-CN"/>
              </w:rPr>
              <w:t>科技局、生态环境局</w:t>
            </w:r>
            <w:r>
              <w:rPr>
                <w:rFonts w:hint="eastAsia" w:ascii="楷体_GB2312" w:hAnsi="楷体_GB2312" w:eastAsia="楷体_GB2312" w:cs="楷体_GB2312"/>
                <w:b w:val="0"/>
                <w:bCs w:val="0"/>
                <w:color w:val="000000"/>
                <w:sz w:val="28"/>
                <w:szCs w:val="28"/>
              </w:rPr>
              <w:t>等按职责分工负责）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562" w:firstLineChars="200"/>
              <w:textAlignment w:val="auto"/>
              <w:rPr>
                <w:rFonts w:hint="eastAsia" w:ascii="楷体_GB2312" w:hAnsi="楷体_GB2312" w:eastAsia="楷体_GB2312" w:cs="楷体_GB2312"/>
                <w:b w:val="0"/>
                <w:bCs w:val="0"/>
                <w:color w:val="000000"/>
                <w:sz w:val="28"/>
                <w:szCs w:val="28"/>
              </w:rPr>
            </w:pPr>
            <w:r>
              <w:rPr>
                <w:rFonts w:hint="eastAsia" w:ascii="仿宋_GB2312" w:hAnsi="仿宋_GB2312" w:eastAsia="仿宋_GB2312" w:cs="仿宋_GB2312"/>
                <w:b/>
                <w:bCs/>
                <w:color w:val="000000"/>
                <w:sz w:val="28"/>
                <w:szCs w:val="28"/>
              </w:rPr>
              <w:t>⑪“蓝碳”能力提升行动。</w:t>
            </w:r>
            <w:r>
              <w:rPr>
                <w:rFonts w:hint="eastAsia" w:ascii="仿宋_GB2312" w:hAnsi="仿宋_GB2312" w:eastAsia="仿宋_GB2312" w:cs="仿宋_GB2312"/>
                <w:color w:val="000000"/>
                <w:sz w:val="28"/>
                <w:szCs w:val="28"/>
              </w:rPr>
              <w:t>将“海洋经济</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碳达峰、碳中和相关研究”等纳入年度市级科技计划项目申报指南。总结秀屿区渔业碳汇交易成功经验，</w:t>
            </w:r>
            <w:r>
              <w:rPr>
                <w:rFonts w:hint="eastAsia" w:ascii="仿宋_GB2312" w:hAnsi="仿宋_GB2312" w:eastAsia="仿宋_GB2312" w:cs="仿宋_GB2312"/>
                <w:color w:val="000000"/>
                <w:sz w:val="28"/>
                <w:szCs w:val="28"/>
                <w:lang w:val="en-US" w:eastAsia="zh-CN"/>
              </w:rPr>
              <w:t>探索</w:t>
            </w:r>
            <w:r>
              <w:rPr>
                <w:rFonts w:hint="eastAsia" w:ascii="仿宋_GB2312" w:hAnsi="仿宋_GB2312" w:eastAsia="仿宋_GB2312" w:cs="仿宋_GB2312"/>
                <w:color w:val="000000"/>
                <w:sz w:val="28"/>
                <w:szCs w:val="28"/>
              </w:rPr>
              <w:t>推进渔业碳汇交易实现水产养殖生态效益。加大红树林保护修复力度，配合开展“蓝碳”能力提升行动。</w:t>
            </w:r>
            <w:r>
              <w:rPr>
                <w:rFonts w:hint="eastAsia" w:ascii="楷体_GB2312" w:hAnsi="楷体_GB2312" w:eastAsia="楷体_GB2312" w:cs="楷体_GB2312"/>
                <w:b w:val="0"/>
                <w:bCs w:val="0"/>
                <w:color w:val="000000"/>
                <w:sz w:val="28"/>
                <w:szCs w:val="28"/>
              </w:rPr>
              <w:t>（责任单位：</w:t>
            </w:r>
            <w:r>
              <w:rPr>
                <w:rFonts w:hint="eastAsia" w:ascii="楷体_GB2312" w:hAnsi="楷体_GB2312" w:eastAsia="楷体_GB2312" w:cs="楷体_GB2312"/>
                <w:b w:val="0"/>
                <w:bCs w:val="0"/>
                <w:color w:val="000000"/>
                <w:sz w:val="28"/>
                <w:szCs w:val="28"/>
                <w:lang w:eastAsia="zh-CN"/>
              </w:rPr>
              <w:t>市科技局</w:t>
            </w:r>
            <w:r>
              <w:rPr>
                <w:rFonts w:hint="eastAsia" w:ascii="楷体_GB2312" w:hAnsi="楷体_GB2312" w:eastAsia="楷体_GB2312" w:cs="楷体_GB2312"/>
                <w:b w:val="0"/>
                <w:bCs w:val="0"/>
                <w:color w:val="000000"/>
                <w:sz w:val="28"/>
                <w:szCs w:val="28"/>
              </w:rPr>
              <w:t>、</w:t>
            </w:r>
            <w:r>
              <w:rPr>
                <w:rFonts w:hint="eastAsia" w:ascii="楷体_GB2312" w:hAnsi="楷体_GB2312" w:eastAsia="楷体_GB2312" w:cs="楷体_GB2312"/>
                <w:b w:val="0"/>
                <w:bCs w:val="0"/>
                <w:color w:val="000000"/>
                <w:sz w:val="28"/>
                <w:szCs w:val="28"/>
                <w:lang w:eastAsia="zh-CN"/>
              </w:rPr>
              <w:t>海洋与渔业局</w:t>
            </w:r>
            <w:r>
              <w:rPr>
                <w:rFonts w:hint="eastAsia" w:ascii="楷体_GB2312" w:hAnsi="楷体_GB2312" w:eastAsia="楷体_GB2312" w:cs="楷体_GB2312"/>
                <w:b w:val="0"/>
                <w:bCs w:val="0"/>
                <w:color w:val="000000"/>
                <w:sz w:val="28"/>
                <w:szCs w:val="28"/>
              </w:rPr>
              <w:t>、</w:t>
            </w:r>
            <w:r>
              <w:rPr>
                <w:rFonts w:hint="eastAsia" w:ascii="楷体_GB2312" w:hAnsi="楷体_GB2312" w:eastAsia="楷体_GB2312" w:cs="楷体_GB2312"/>
                <w:b w:val="0"/>
                <w:bCs w:val="0"/>
                <w:color w:val="000000"/>
                <w:sz w:val="28"/>
                <w:szCs w:val="28"/>
                <w:lang w:eastAsia="zh-CN"/>
              </w:rPr>
              <w:t>林业局</w:t>
            </w:r>
            <w:r>
              <w:rPr>
                <w:rFonts w:hint="eastAsia" w:ascii="楷体_GB2312" w:hAnsi="楷体_GB2312" w:eastAsia="楷体_GB2312" w:cs="楷体_GB2312"/>
                <w:b w:val="0"/>
                <w:bCs w:val="0"/>
                <w:color w:val="000000"/>
                <w:sz w:val="28"/>
                <w:szCs w:val="28"/>
              </w:rPr>
              <w:t>、</w:t>
            </w:r>
            <w:r>
              <w:rPr>
                <w:rFonts w:hint="eastAsia" w:ascii="楷体_GB2312" w:hAnsi="楷体_GB2312" w:eastAsia="楷体_GB2312" w:cs="楷体_GB2312"/>
                <w:b w:val="0"/>
                <w:bCs w:val="0"/>
                <w:color w:val="000000"/>
                <w:sz w:val="28"/>
                <w:szCs w:val="28"/>
                <w:lang w:eastAsia="zh-CN"/>
              </w:rPr>
              <w:t>生态环境局</w:t>
            </w:r>
            <w:r>
              <w:rPr>
                <w:rFonts w:hint="eastAsia" w:ascii="楷体_GB2312" w:hAnsi="楷体_GB2312" w:eastAsia="楷体_GB2312" w:cs="楷体_GB2312"/>
                <w:b w:val="0"/>
                <w:bCs w:val="0"/>
                <w:color w:val="000000"/>
                <w:sz w:val="28"/>
                <w:szCs w:val="28"/>
              </w:rPr>
              <w:t>等按职责分工负责）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155" w:leftChars="50" w:right="155" w:rightChars="50" w:firstLine="562" w:firstLineChars="200"/>
              <w:textAlignment w:val="auto"/>
              <w:outlineLvl w:val="9"/>
              <w:rPr>
                <w:rFonts w:hint="eastAsia" w:ascii="楷体_GB2312" w:hAnsi="楷体_GB2312" w:eastAsia="楷体_GB2312" w:cs="楷体_GB2312"/>
                <w:b w:val="0"/>
                <w:bCs w:val="0"/>
                <w:color w:val="000000"/>
                <w:sz w:val="28"/>
                <w:szCs w:val="28"/>
                <w:lang w:val="en-US" w:eastAsia="zh-CN"/>
              </w:rPr>
            </w:pPr>
            <w:r>
              <w:rPr>
                <w:rFonts w:hint="eastAsia" w:ascii="仿宋_GB2312" w:hAnsi="仿宋_GB2312" w:eastAsia="仿宋_GB2312" w:cs="仿宋_GB2312"/>
                <w:b/>
                <w:bCs/>
                <w:color w:val="000000"/>
                <w:sz w:val="28"/>
                <w:szCs w:val="28"/>
              </w:rPr>
              <w:t>⑫</w:t>
            </w:r>
            <w:r>
              <w:rPr>
                <w:rFonts w:hint="eastAsia" w:ascii="仿宋_GB2312" w:hAnsi="仿宋_GB2312" w:eastAsia="仿宋_GB2312" w:cs="仿宋_GB2312"/>
                <w:b/>
                <w:bCs/>
                <w:color w:val="000000"/>
                <w:sz w:val="28"/>
                <w:szCs w:val="28"/>
                <w:lang w:val="en-US" w:eastAsia="zh-CN"/>
              </w:rPr>
              <w:t>绿色</w:t>
            </w:r>
            <w:r>
              <w:rPr>
                <w:rFonts w:hint="eastAsia" w:ascii="仿宋_GB2312" w:hAnsi="仿宋_GB2312" w:eastAsia="仿宋_GB2312" w:cs="仿宋_GB2312"/>
                <w:b/>
                <w:bCs/>
                <w:color w:val="000000"/>
                <w:sz w:val="28"/>
                <w:szCs w:val="28"/>
              </w:rPr>
              <w:t>社区</w:t>
            </w:r>
            <w:r>
              <w:rPr>
                <w:rFonts w:hint="eastAsia" w:ascii="仿宋_GB2312" w:hAnsi="仿宋_GB2312" w:eastAsia="仿宋_GB2312" w:cs="仿宋_GB2312"/>
                <w:b/>
                <w:bCs/>
                <w:color w:val="000000"/>
                <w:sz w:val="28"/>
                <w:szCs w:val="28"/>
                <w:lang w:val="en-US" w:eastAsia="zh-CN"/>
              </w:rPr>
              <w:t>建设行动</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b w:val="0"/>
                <w:bCs w:val="0"/>
                <w:color w:val="000000"/>
                <w:sz w:val="28"/>
                <w:szCs w:val="28"/>
                <w:lang w:val="en-US" w:eastAsia="zh-CN"/>
              </w:rPr>
              <w:t>开展绿色社区创建活动，推进水、电、气等基础设施绿色化升级，提升信息化、智能化水平。加强社区垃圾分类管理，推行低碳化运营管理模式，形成低碳高效的空间开发模式和优美宜居的社区环境。</w:t>
            </w:r>
            <w:r>
              <w:rPr>
                <w:rFonts w:hint="eastAsia" w:ascii="楷体_GB2312" w:hAnsi="楷体_GB2312" w:eastAsia="楷体_GB2312" w:cs="楷体_GB2312"/>
                <w:b w:val="0"/>
                <w:bCs w:val="0"/>
                <w:color w:val="000000"/>
                <w:sz w:val="28"/>
                <w:szCs w:val="28"/>
                <w:lang w:val="en-US" w:eastAsia="zh-CN"/>
              </w:rPr>
              <w:t>（责任单位：市住建局、城市管理局、发改委等按职责分工负责）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155" w:leftChars="50" w:right="155" w:rightChars="50" w:firstLine="562" w:firstLineChars="200"/>
              <w:textAlignment w:val="auto"/>
              <w:outlineLvl w:val="9"/>
              <w:rPr>
                <w:rFonts w:hint="eastAsia" w:ascii="楷体_GB2312" w:hAnsi="楷体_GB2312" w:eastAsia="楷体_GB2312" w:cs="楷体_GB2312"/>
                <w:color w:val="000000"/>
                <w:sz w:val="28"/>
                <w:szCs w:val="28"/>
              </w:rPr>
            </w:pPr>
            <w:r>
              <w:rPr>
                <w:rFonts w:hint="eastAsia" w:ascii="仿宋_GB2312" w:hAnsi="仿宋_GB2312" w:eastAsia="仿宋_GB2312" w:cs="仿宋_GB2312"/>
                <w:b/>
                <w:bCs/>
                <w:color w:val="000000"/>
                <w:sz w:val="28"/>
                <w:szCs w:val="28"/>
                <w:lang w:val="en-US" w:eastAsia="zh-CN"/>
              </w:rPr>
              <w:t>⑬</w:t>
            </w:r>
            <w:r>
              <w:rPr>
                <w:rFonts w:hint="eastAsia" w:ascii="仿宋_GB2312" w:hAnsi="仿宋_GB2312" w:eastAsia="仿宋_GB2312" w:cs="仿宋_GB2312"/>
                <w:b/>
                <w:bCs/>
                <w:color w:val="000000"/>
                <w:sz w:val="28"/>
                <w:szCs w:val="28"/>
              </w:rPr>
              <w:t>林业生态碳汇提升</w:t>
            </w:r>
            <w:r>
              <w:rPr>
                <w:rFonts w:hint="eastAsia" w:ascii="仿宋_GB2312" w:hAnsi="仿宋_GB2312" w:eastAsia="仿宋_GB2312" w:cs="仿宋_GB2312"/>
                <w:b/>
                <w:color w:val="000000"/>
                <w:sz w:val="28"/>
                <w:szCs w:val="28"/>
                <w:lang w:val="en-US" w:eastAsia="zh-CN"/>
              </w:rPr>
              <w:t>行动</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color w:val="000000"/>
                <w:sz w:val="28"/>
                <w:szCs w:val="28"/>
              </w:rPr>
              <w:t>开展全市林业碳汇能力评估，实施森林质量精准提升工程，加强森林经营，调整优化树种结构、林分结构，加强天然林与生态公益林保护修复，巩固提升林业生态碳汇。到202</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年，完成植树造林1</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万亩，完成森林抚育</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万亩，封山育林1</w:t>
            </w:r>
            <w:r>
              <w:rPr>
                <w:rFonts w:hint="eastAsia" w:ascii="仿宋_GB2312" w:hAnsi="仿宋_GB2312" w:eastAsia="仿宋_GB2312" w:cs="仿宋_GB2312"/>
                <w:color w:val="000000"/>
                <w:sz w:val="28"/>
                <w:szCs w:val="28"/>
                <w:lang w:val="en-US" w:eastAsia="zh-CN"/>
              </w:rPr>
              <w:t>0</w:t>
            </w:r>
            <w:r>
              <w:rPr>
                <w:rFonts w:hint="eastAsia" w:ascii="仿宋_GB2312" w:hAnsi="仿宋_GB2312" w:eastAsia="仿宋_GB2312" w:cs="仿宋_GB2312"/>
                <w:color w:val="000000"/>
                <w:sz w:val="28"/>
                <w:szCs w:val="28"/>
              </w:rPr>
              <w:t>万亩。</w:t>
            </w:r>
            <w:r>
              <w:rPr>
                <w:rFonts w:hint="eastAsia" w:ascii="楷体_GB2312" w:hAnsi="楷体_GB2312" w:eastAsia="楷体_GB2312" w:cs="楷体_GB2312"/>
                <w:color w:val="000000"/>
                <w:sz w:val="28"/>
                <w:szCs w:val="28"/>
              </w:rPr>
              <w:t>（责任单位：市林业局、发改委等按职责分工负责）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155" w:leftChars="50" w:right="155" w:rightChars="50" w:firstLine="562" w:firstLineChars="200"/>
              <w:textAlignment w:val="auto"/>
              <w:outlineLvl w:val="9"/>
              <w:rPr>
                <w:rFonts w:hint="eastAsia" w:eastAsia="仿宋_GB2312"/>
                <w:color w:val="000000"/>
                <w:lang w:val="en-US" w:eastAsia="zh-CN"/>
              </w:rPr>
            </w:pPr>
            <w:r>
              <w:rPr>
                <w:rFonts w:hint="eastAsia" w:ascii="仿宋_GB2312" w:hAnsi="仿宋_GB2312" w:eastAsia="仿宋_GB2312" w:cs="仿宋_GB2312"/>
                <w:b/>
                <w:bCs/>
                <w:color w:val="000000"/>
                <w:sz w:val="28"/>
                <w:szCs w:val="28"/>
              </w:rPr>
              <w:t>⑭科学开发清洁能源</w:t>
            </w:r>
            <w:r>
              <w:rPr>
                <w:rFonts w:hint="eastAsia" w:ascii="仿宋_GB2312" w:hAnsi="仿宋_GB2312" w:eastAsia="仿宋_GB2312" w:cs="仿宋_GB2312"/>
                <w:b/>
                <w:bCs/>
                <w:color w:val="000000"/>
                <w:sz w:val="28"/>
                <w:szCs w:val="28"/>
                <w:lang w:val="en-US" w:eastAsia="zh-CN"/>
              </w:rPr>
              <w:t>行动。</w:t>
            </w:r>
            <w:r>
              <w:rPr>
                <w:rFonts w:hint="eastAsia" w:ascii="仿宋_GB2312" w:hAnsi="仿宋_GB2312" w:eastAsia="仿宋_GB2312" w:cs="仿宋_GB2312"/>
                <w:color w:val="000000"/>
                <w:sz w:val="28"/>
                <w:szCs w:val="28"/>
                <w:lang w:val="en-US" w:eastAsia="zh-CN"/>
              </w:rPr>
              <w:t>依托本地HDT高效太阳能电池生产企业，加快推动太阳能发电项目的建设应用。积极推进涵江、仙游整县屋顶分布式光伏试点；适度建设海上养殖场渔光互补项目，研究试点农光互补等项目。积极推进南日岛、平海湾海上风电规模化开发。科学有序布局生物质发电项目，因地制宜发展林业和农业剩余物、垃圾直（混）燃和气化发电，以及大型沼气发电等生物质发电项目，支持规模化、工厂化畜禽养殖场、建设沼气及其发电工程。</w:t>
            </w:r>
            <w:r>
              <w:rPr>
                <w:rFonts w:hint="eastAsia" w:ascii="楷体_GB2312" w:hAnsi="楷体_GB2312" w:eastAsia="楷体_GB2312" w:cs="楷体_GB2312"/>
                <w:color w:val="000000"/>
                <w:sz w:val="28"/>
                <w:szCs w:val="28"/>
              </w:rPr>
              <w:t>（责任单位：市发改委等按职责分工负责）</w:t>
            </w:r>
          </w:p>
        </w:tc>
      </w:tr>
    </w:tbl>
    <w:p>
      <w:pPr>
        <w:spacing w:line="580" w:lineRule="exact"/>
        <w:ind w:firstLine="0" w:firstLineChars="0"/>
        <w:outlineLvl w:val="9"/>
        <w:rPr>
          <w:rStyle w:val="13"/>
          <w:rFonts w:hint="eastAsia" w:ascii="黑体" w:hAnsi="黑体" w:eastAsia="黑体" w:cs="黑体"/>
          <w:b w:val="0"/>
          <w:bCs/>
          <w:i w:val="0"/>
          <w:iCs w:val="0"/>
          <w:caps w:val="0"/>
          <w:color w:val="000000"/>
          <w:spacing w:val="0"/>
          <w:kern w:val="0"/>
          <w:sz w:val="32"/>
          <w:szCs w:val="32"/>
          <w:shd w:val="clear" w:color="auto" w:fill="FFFFFF"/>
          <w:lang w:val="en-US" w:eastAsia="zh-CN" w:bidi="ar"/>
        </w:rPr>
      </w:pPr>
      <w:r>
        <w:rPr>
          <w:rStyle w:val="13"/>
          <w:rFonts w:hint="eastAsia" w:ascii="黑体" w:hAnsi="黑体" w:eastAsia="黑体" w:cs="黑体"/>
          <w:b w:val="0"/>
          <w:bCs/>
          <w:i w:val="0"/>
          <w:iCs w:val="0"/>
          <w:caps w:val="0"/>
          <w:color w:val="000000"/>
          <w:spacing w:val="0"/>
          <w:kern w:val="0"/>
          <w:sz w:val="32"/>
          <w:szCs w:val="32"/>
          <w:shd w:val="clear" w:color="auto" w:fill="FFFFFF"/>
          <w:lang w:val="en-US" w:eastAsia="zh-CN" w:bidi="ar"/>
        </w:rPr>
        <w:t xml:space="preserve">    </w:t>
      </w:r>
      <w:bookmarkStart w:id="8" w:name="_Toc9815"/>
      <w:r>
        <w:rPr>
          <w:rStyle w:val="13"/>
          <w:rFonts w:hint="eastAsia" w:ascii="黑体" w:hAnsi="黑体" w:eastAsia="黑体" w:cs="黑体"/>
          <w:b w:val="0"/>
          <w:bCs/>
          <w:i w:val="0"/>
          <w:iCs w:val="0"/>
          <w:caps w:val="0"/>
          <w:color w:val="000000"/>
          <w:spacing w:val="0"/>
          <w:kern w:val="0"/>
          <w:sz w:val="32"/>
          <w:szCs w:val="32"/>
          <w:shd w:val="clear" w:color="auto" w:fill="FFFFFF"/>
          <w:lang w:val="en-US" w:eastAsia="zh-CN" w:bidi="ar"/>
        </w:rPr>
        <w:t>三、铸就山海一体污染防治典范</w:t>
      </w:r>
      <w:bookmarkEnd w:id="8"/>
    </w:p>
    <w:p>
      <w:pPr>
        <w:pStyle w:val="2"/>
        <w:spacing w:line="580" w:lineRule="exact"/>
        <w:outlineLvl w:val="1"/>
        <w:rPr>
          <w:rFonts w:hint="default"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bookmarkStart w:id="9" w:name="_Toc12751"/>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（六）保育闽中永续发展沿海生态屏障</w:t>
      </w:r>
      <w:bookmarkEnd w:id="9"/>
    </w:p>
    <w:p>
      <w:pPr>
        <w:keepNext w:val="0"/>
        <w:keepLines w:val="0"/>
        <w:pageBreakBefore w:val="0"/>
        <w:widowControl w:val="0"/>
        <w:kinsoku/>
        <w:wordWrap/>
        <w:topLinePunct w:val="0"/>
        <w:bidi w:val="0"/>
        <w:spacing w:line="580" w:lineRule="exact"/>
        <w:ind w:firstLine="640" w:firstLineChars="200"/>
        <w:rPr>
          <w:rFonts w:hint="default"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color w:val="000000"/>
          <w:sz w:val="32"/>
          <w:szCs w:val="32"/>
          <w:highlight w:val="none"/>
          <w:lang w:eastAsia="zh-CN"/>
        </w:rPr>
        <w:t>落实生态保护红线管理制度，健全山水林田湖草沙一体化保护和系统治理机制，建设多元化生态保护修复投入机制。加大对红树林、海湾、入海河口等典型生态系统保护力度，开展红树林病虫害防治工作，推进纵深防护林建设，及时开展老林带更新修复。实施滨海湿地分级保护和湿地名录管理，实行湿地面积总量管控。指导协调湄洲岛</w:t>
      </w:r>
      <w:r>
        <w:rPr>
          <w:rFonts w:hint="eastAsia" w:ascii="仿宋_GB2312" w:hAnsi="仿宋_GB2312" w:eastAsia="仿宋_GB2312" w:cs="仿宋_GB2312"/>
          <w:b w:val="0"/>
          <w:bCs/>
          <w:color w:val="000000"/>
          <w:sz w:val="32"/>
          <w:szCs w:val="32"/>
          <w:highlight w:val="none"/>
          <w:lang w:val="en-US" w:eastAsia="zh-CN"/>
        </w:rPr>
        <w:t>管委会</w:t>
      </w:r>
      <w:r>
        <w:rPr>
          <w:rFonts w:hint="eastAsia" w:ascii="仿宋_GB2312" w:hAnsi="仿宋_GB2312" w:eastAsia="仿宋_GB2312" w:cs="仿宋_GB2312"/>
          <w:b w:val="0"/>
          <w:bCs/>
          <w:color w:val="000000"/>
          <w:sz w:val="32"/>
          <w:szCs w:val="32"/>
          <w:highlight w:val="none"/>
          <w:lang w:eastAsia="zh-CN"/>
        </w:rPr>
        <w:t>推进湄洲岛海洋生态保护修复工程项目，在兴化湾和湄洲湾实施红树林保护修复。构建“一溪、一带、两岛屿”的总体布局，</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深入实施山水林田湖草沙系统治理，探索“绿水青山”转化为“金山银山”的有效路径，谋划建设北岸山水林田湖草沙综合治理与木兰溪资源循环经济产业开发项目（EOD），探索亲海空间绿色开发模式。持续推进“绿盾”自然保护地强化监督，建立生态保护红线生态破坏问题监督机制。构建分类合理、布局科学的自然保护地总体布局，持续优化生态系统多样性、稳定性、持续性保护空间格局。科学划定生态保护红线，将生态功能极重要区域、一级水源保护地、沿海基干林、防护林、红树林、自然保护地（风景名胜区除外）和自然岸线向海一侧划入（或纳入）生态保护红线，涉及木兰溪源、瑞云山、老鹰尖等。到</w:t>
      </w:r>
      <w:r>
        <w:rPr>
          <w:rFonts w:hint="eastAsia" w:ascii="仿宋_GB2312" w:hAnsi="仿宋_GB2312" w:eastAsia="仿宋_GB2312" w:cs="仿宋_GB2312"/>
          <w:b w:val="0"/>
          <w:bCs/>
          <w:color w:val="000000"/>
          <w:sz w:val="32"/>
          <w:szCs w:val="32"/>
          <w:highlight w:val="none"/>
          <w:lang w:eastAsia="zh-CN"/>
        </w:rPr>
        <w:t>2027年，开展红树林保护修复65公顷，完成沿海防护林建设10万亩；到2035年，海洋生态系统质量和稳定性显著提升，</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全市生态系统格局更加稳定。</w:t>
      </w:r>
    </w:p>
    <w:p>
      <w:pPr>
        <w:pStyle w:val="2"/>
        <w:spacing w:line="580" w:lineRule="exact"/>
        <w:outlineLvl w:val="1"/>
        <w:rPr>
          <w:rFonts w:hint="default"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bookmarkStart w:id="10" w:name="_Toc19954"/>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（七）推进陆海空全域污染的协同防治</w:t>
      </w:r>
      <w:bookmarkEnd w:id="10"/>
    </w:p>
    <w:p>
      <w:pPr>
        <w:pStyle w:val="2"/>
        <w:spacing w:line="580" w:lineRule="exact"/>
        <w:rPr>
          <w:rFonts w:hint="default"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持续深入打好蓝天保卫战。推动跨行业、多污染物、多介质、全过程协同管控，以细颗粒物控制为主线，推动细颗粒物和臭氧“双控双降”，开展制鞋等行业挥发性有机物综合治理、柴油货车污染治理攻坚行动；探索加快淘汰国三及以下排放汽车方案，引导内河新增电动船舶，限制发展燃油船舶，持续推进清洁柴油车（机）行动。</w:t>
      </w:r>
    </w:p>
    <w:p>
      <w:pPr>
        <w:pStyle w:val="2"/>
        <w:spacing w:line="580" w:lineRule="exact"/>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持续深入打好碧水保卫战。落实水资源刚性约束制度，全面推行水资源费改税。纵深推进全市流域系统治理，持续改善全市流域水环境质量，恢复整体功能，坚持水资源、水环境、水生态“三水统筹”，污染减排与生态扩容两手发力，推行重点行业企业污水治理与排放水平绩效分级，推进产业园区水污染治理。推进雨污分流，提升城市生活污水集中收集率，基本消除城乡黑臭水体并形成长效机制。按照国家统一部署开展危险废物处置场、垃圾填埋场和化工园区地下水调查评估以及开展重点行业企业现有防渗漏与监测情况排查，实施地下水污染源防渗改造和风险管控，阻止地下水污染扩散；开展地下水污染防治重点区划定工作，实施地下水环境分区管理、分级防治。到2035年，全</w:t>
      </w:r>
      <w:r>
        <w:rPr>
          <w:rFonts w:hint="eastAsia" w:ascii="仿宋_GB2312" w:hAnsi="仿宋_GB2312" w:eastAsia="仿宋_GB2312" w:cs="仿宋_GB2312"/>
          <w:i w:val="0"/>
          <w:iCs w:val="0"/>
          <w:caps w:val="0"/>
          <w:color w:val="000000"/>
          <w:spacing w:val="-6"/>
          <w:kern w:val="0"/>
          <w:sz w:val="32"/>
          <w:szCs w:val="32"/>
          <w:highlight w:val="none"/>
          <w:shd w:val="clear" w:color="auto" w:fill="FFFFFF"/>
          <w:lang w:val="en-US" w:eastAsia="zh-CN" w:bidi="ar"/>
        </w:rPr>
        <w:t>市地下水环境质量总体改善，地下水国控点位Ⅰ－Ⅳ类水比例达到80%以上</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w:t>
      </w:r>
    </w:p>
    <w:p>
      <w:pPr>
        <w:pStyle w:val="2"/>
        <w:spacing w:line="580" w:lineRule="exact"/>
        <w:rPr>
          <w:rFonts w:hint="eastAsia" w:ascii="仿宋_GB2312" w:hAnsi="仿宋_GB2312" w:eastAsia="仿宋_GB2312" w:cs="仿宋_GB2312"/>
          <w:b w:val="0"/>
          <w:bCs/>
          <w:color w:val="000000"/>
          <w:sz w:val="32"/>
          <w:szCs w:val="32"/>
          <w:highlight w:val="none"/>
          <w:lang w:eastAsia="zh-CN"/>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持续深入打好碧海保卫战。</w:t>
      </w:r>
      <w:r>
        <w:rPr>
          <w:rFonts w:hint="eastAsia" w:ascii="仿宋_GB2312" w:hAnsi="仿宋_GB2312" w:eastAsia="仿宋_GB2312" w:cs="仿宋_GB2312"/>
          <w:b w:val="0"/>
          <w:bCs/>
          <w:color w:val="000000"/>
          <w:sz w:val="32"/>
          <w:szCs w:val="32"/>
          <w:highlight w:val="none"/>
          <w:lang w:eastAsia="zh-CN"/>
        </w:rPr>
        <w:t>构建流域—河口—近岸海域污染防治联动机制，“一河一策”综合整治入海河流，“一口一档”深化入海排污口分类整治，清单化治理水产养殖入海排放口，逐步实现养殖尾水达标排放或循环利用。推动涵江区三江口、荔城区黄石镇、秀屿区埭头、东庄、平海、北岸山亭、忠门等沿海乡镇加快补齐污水收集、处理、排放基础设施短板，强化重点直排海污染源监督性监测。</w:t>
      </w:r>
    </w:p>
    <w:p>
      <w:pPr>
        <w:pStyle w:val="2"/>
        <w:spacing w:line="580" w:lineRule="exact"/>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持续深入打好净土保卫战。分阶段推进农用地土壤重金属污染溯源和整治全覆盖。强化优先保护类耕地保护，扎实推进受污染耕地安全利用和风险管控。依法加强建设用地用途变更和污染地块风险管控的联合监管。加强部门间地下水监测工作协同和数据共享，健全土壤环境源头预防、过程阻断、治理修复全过程风险管控体系。推动污染防治在重点区域、重要领域、关键指标上实现新突破，生态环境质量继续保持全国前列。坚持自然恢复与人工修复相结合，遵循因地制宜、科学规划、系统治理、合理利用的原则，开展矿山地质环境生态治理修复。通过工程、技术、生物等措施，做好地质环境恢复治理、地貌重塑、植被恢复、土地复垦等。</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outlineLvl w:val="1"/>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bookmarkStart w:id="11" w:name="_Toc7383"/>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（八）全面开展“无废城市”建设管理</w:t>
      </w:r>
      <w:bookmarkEnd w:id="11"/>
    </w:p>
    <w:p>
      <w:pPr>
        <w:pStyle w:val="2"/>
        <w:spacing w:line="580" w:lineRule="exac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强化科技支撑，全面开展“无废城市”建设与管理有机融合，加强城乡生活垃圾、农业废弃物、建筑垃圾、大宗工业固体废物等源头减量化、资源化和无害化处理，强化塑料污染全链条治理，推动新污染物治理、大规模设备更新和消费品以旧换新行动。推行强制且细致的垃圾分类政策，明确划分可回收物、有害垃圾、厨余垃圾与其他垃圾类别，并在各社区、公共场所配备相应标识清晰的垃圾桶，同时开展大规模宣传教育活动提升居民分类意识与能力。构建完善的回收利用体系，建立社区回收点、专业回收站与回收企业紧密结合的网络，政府通过税收优惠、财政补贴等扶持回收企业，利用“互联网+回收”创新回收模式提升回收效率。规划建设多种垃圾处理设施，如垃圾焚烧发电厂进行能源转化、垃圾填埋场进行安全填埋、堆肥厂处理有机垃圾。实施全过程监管，源头监管企业减少固废产生，运输环节确保垃圾密闭运输无撒漏，末端监督处理设施达标排放，保障整个固废处理与回收链条绿色、高效、可持续运行。到2027年，莆田市“无废城市”建设取得初步成效；到2035年，新污染物环境风险得到有效管控。</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outlineLvl w:val="1"/>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bookmarkStart w:id="12" w:name="_Toc26988"/>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（九）坚决守牢生态环境安全底线</w:t>
      </w:r>
      <w:bookmarkEnd w:id="12"/>
    </w:p>
    <w:p>
      <w:pPr>
        <w:keepNext w:val="0"/>
        <w:keepLines w:val="0"/>
        <w:pageBreakBefore w:val="0"/>
        <w:widowControl w:val="0"/>
        <w:kinsoku/>
        <w:wordWrap/>
        <w:topLinePunct w:val="0"/>
        <w:bidi w:val="0"/>
        <w:adjustRightInd w:val="0"/>
        <w:snapToGrid w:val="0"/>
        <w:spacing w:line="580" w:lineRule="exact"/>
        <w:ind w:firstLine="640" w:firstLineChars="200"/>
        <w:jc w:val="left"/>
        <w:rPr>
          <w:rFonts w:hint="default"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贯彻总体国家安全观，</w:t>
      </w:r>
      <w:r>
        <w:rPr>
          <w:rFonts w:hint="default"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完善</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市</w:t>
      </w:r>
      <w:r>
        <w:rPr>
          <w:rFonts w:hint="default"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级生态安全工作协调机制</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坚持发展和安全并重，提高生态安全风险研判评估、监测预警、应急应对和处置能力，实现高质量发展和高水平安全良性互动。健全应急响应体系和应急物资储备体系，建立健全上下游、跨区域的应急联动机制，及时妥善科学处置各类突发环境事件。构建严密的核安全责任体系，</w:t>
      </w:r>
      <w:r>
        <w:rPr>
          <w:rFonts w:hint="default"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全面提高核与辐射安全监管能力</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，加强放射性废物处理处置，确保核与辐射安全。</w:t>
      </w:r>
      <w:r>
        <w:rPr>
          <w:rFonts w:hint="default"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健全生物安全监管预警防控体系，加强生物技术及其产品的环境风险管控，加强有害生物防治和外来入侵物种防控。</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持续提升农业、健康和公共卫生等领域的气候韧性，</w:t>
      </w:r>
      <w:r>
        <w:rPr>
          <w:rFonts w:hint="default"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有效应对气候变化不利影响和风险，深化气候适应型城市建设</w:t>
      </w: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w:t>
      </w:r>
      <w:r>
        <w:rPr>
          <w:rFonts w:hint="default"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到2035年，气候适应型社会基本建成。</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outlineLvl w:val="1"/>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bookmarkStart w:id="13" w:name="_Toc11858"/>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（十）完善生态文明管理保障体制机制</w:t>
      </w:r>
      <w:bookmarkEnd w:id="13"/>
    </w:p>
    <w:p>
      <w:pPr>
        <w:pStyle w:val="2"/>
        <w:spacing w:line="580" w:lineRule="exact"/>
        <w:rPr>
          <w:rFonts w:hint="default"/>
          <w:color w:val="000000"/>
          <w:lang w:val="en-US" w:eastAsia="zh-CN"/>
        </w:rPr>
      </w:pPr>
      <w:r>
        <w:rPr>
          <w:rFonts w:hint="eastAsia" w:ascii="仿宋_GB2312" w:hAnsi="仿宋_GB2312" w:eastAsia="仿宋_GB2312" w:cs="仿宋_GB2312"/>
          <w:b w:val="0"/>
          <w:bCs w:val="0"/>
          <w:i w:val="0"/>
          <w:iCs w:val="0"/>
          <w:caps w:val="0"/>
          <w:color w:val="000000"/>
          <w:spacing w:val="0"/>
          <w:kern w:val="0"/>
          <w:sz w:val="32"/>
          <w:szCs w:val="32"/>
          <w:shd w:val="clear" w:color="auto" w:fill="FFFFFF"/>
          <w:lang w:val="en-US" w:eastAsia="zh-CN" w:bidi="ar"/>
        </w:rPr>
        <w:t>完善生态文明建设地方性法规政策体系，正在制定《莆田市平海湾海域环境保护条例》《莆田市餐饮业油烟防治条例》等地方性法规。加强基层生态环境监测机构规范化建设，确保监测数据全面、真实、准确、有效。落实覆盖全域全类型、统一衔接的国土空间用途管制和规划许可制度。持续推进自然资源产权制度改革、有偿使用制度改革，扩大自然资源有偿使用范围，推动土地混合开发利用，鼓励综合开发利用地上、地下空间，实现自然资源保护利用和资产保值增值。深化落实生态环境保护督察制度，完善领导干部自然资源离任审计制度。完善精准治污、科学治污、依法治污制度机制，落实以排污许可制为核心的固定污染源监管制度，完善监测、监管、执法“三联动”机制。开展新污染物协同治理试点工作，加强新污染物风险管控，推进多污染物协同减排。深化环境信息依法披露制度改革，构建环境信用监管体系。健全生态保护红线管理制度。完善山水林田湖草沙一体化保护和系统治理机制，构建山水交融的自然生态风貌格局，打造“美丽河湖”“美丽海湾”莆田模式，争创国家生态文明建设示范市。巩固提升河湖长制、林长制成效，深化生态云、智慧河长平台应用，做到一图统抓、统揽、统督、统办，加快构建陆海统筹、天地一体、上下协调、信息共享的生态环境监测网络，构建生态环境科技支撑体系和多元环境治理格局。统筹水资源、水环境、水生态治理，强化农业面源污染防治，深化工业污染综合治理，推进生活污水处理提质增效，巩固提升生态系统功能。强化生物多样性保护工作协调机制。健全海洋资源开发保护制度。探索生态产品价值实现机制，完善生态保护补偿制度，打通“绿水青山”向“金山银山”的转化通道。健全生态环境司法保护机制，实行生态环境损害赔偿和责任终身追究。到2035年，绿色高质量发展先行市建设各方面制度体系更加完善，基本实现市域治理体系和治理能力现代化，基本实现社会主义现代化。</w:t>
      </w:r>
    </w:p>
    <w:p>
      <w:pPr>
        <w:keepNext w:val="0"/>
        <w:keepLines w:val="0"/>
        <w:pageBreakBefore w:val="0"/>
        <w:widowControl/>
        <w:kinsoku/>
        <w:wordWrap/>
        <w:topLinePunct w:val="0"/>
        <w:bidi w:val="0"/>
        <w:adjustRightInd/>
        <w:snapToGrid/>
        <w:spacing w:line="580" w:lineRule="exact"/>
        <w:jc w:val="left"/>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rPr>
        <w:t>专栏</w:t>
      </w:r>
      <w:r>
        <w:rPr>
          <w:rFonts w:hint="eastAsia" w:ascii="黑体" w:hAnsi="黑体" w:eastAsia="黑体" w:cs="黑体"/>
          <w:b w:val="0"/>
          <w:bCs/>
          <w:color w:val="000000"/>
          <w:sz w:val="32"/>
          <w:szCs w:val="32"/>
          <w:lang w:val="en-US" w:eastAsia="zh-CN"/>
        </w:rPr>
        <w:t>2</w:t>
      </w:r>
      <w:r>
        <w:rPr>
          <w:rFonts w:hint="eastAsia" w:ascii="黑体" w:hAnsi="黑体" w:eastAsia="黑体" w:cs="黑体"/>
          <w:b w:val="0"/>
          <w:bCs/>
          <w:color w:val="000000"/>
          <w:sz w:val="32"/>
          <w:szCs w:val="32"/>
        </w:rPr>
        <w:t>：铸就山海一体污染防治典范</w:t>
      </w:r>
      <w:r>
        <w:rPr>
          <w:rFonts w:hint="eastAsia" w:ascii="黑体" w:hAnsi="黑体" w:eastAsia="黑体" w:cs="黑体"/>
          <w:b w:val="0"/>
          <w:bCs/>
          <w:color w:val="000000"/>
          <w:sz w:val="32"/>
          <w:szCs w:val="32"/>
          <w:lang w:val="en-US" w:eastAsia="zh-CN"/>
        </w:rPr>
        <w:t>具体行动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8671" w:type="dxa"/>
            <w:noWrap w:val="0"/>
            <w:vAlign w:val="center"/>
          </w:tcPr>
          <w:p>
            <w:pPr>
              <w:pStyle w:val="2"/>
              <w:keepNext w:val="0"/>
              <w:keepLines w:val="0"/>
              <w:suppressLineNumbers w:val="0"/>
              <w:spacing w:before="0" w:beforeAutospacing="0" w:afterAutospacing="0" w:line="590" w:lineRule="exact"/>
              <w:ind w:left="0" w:right="0"/>
              <w:rPr>
                <w:rFonts w:hint="eastAsia" w:ascii="楷体_GB2312" w:hAnsi="楷体_GB2312" w:eastAsia="楷体_GB2312" w:cs="楷体_GB2312"/>
                <w:b w:val="0"/>
                <w:bCs w:val="0"/>
                <w:color w:val="000000"/>
                <w:sz w:val="28"/>
                <w:szCs w:val="28"/>
              </w:rPr>
            </w:pPr>
            <w:r>
              <w:rPr>
                <w:rFonts w:hint="eastAsia" w:ascii="仿宋_GB2312" w:hAnsi="仿宋_GB2312" w:eastAsia="仿宋_GB2312" w:cs="仿宋_GB2312"/>
                <w:b/>
                <w:bCs/>
                <w:color w:val="000000"/>
                <w:sz w:val="28"/>
                <w:szCs w:val="28"/>
              </w:rPr>
              <w:t>①“污水</w:t>
            </w:r>
            <w:r>
              <w:rPr>
                <w:rFonts w:hint="eastAsia" w:ascii="仿宋_GB2312" w:hAnsi="仿宋_GB2312" w:eastAsia="仿宋_GB2312" w:cs="仿宋_GB2312"/>
                <w:b/>
                <w:color w:val="000000"/>
                <w:sz w:val="28"/>
                <w:szCs w:val="28"/>
              </w:rPr>
              <w:t>零直排区”建设行动。</w:t>
            </w:r>
            <w:r>
              <w:rPr>
                <w:rFonts w:hint="eastAsia" w:ascii="仿宋_GB2312" w:hAnsi="仿宋_GB2312" w:eastAsia="仿宋_GB2312" w:cs="仿宋_GB2312"/>
                <w:color w:val="000000"/>
                <w:sz w:val="28"/>
                <w:szCs w:val="28"/>
              </w:rPr>
              <w:t>开展工业集聚区污水集中处理设施建设与改造项目、配套管网建设项目等，加快推进省级及以上开发区‘污水零直排区’建设，实现省级以上开发区污水全收集全处理稳定达标排放全覆盖。提升园区废水处理水平，改善流域水质</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在园区污水处理设施、重点园区明管化、入河入海排污口监管等方面加强整改提升，强化长效管理水平。</w:t>
            </w:r>
            <w:r>
              <w:rPr>
                <w:rFonts w:hint="eastAsia" w:ascii="楷体_GB2312" w:hAnsi="楷体_GB2312" w:eastAsia="楷体_GB2312" w:cs="楷体_GB2312"/>
                <w:b w:val="0"/>
                <w:bCs w:val="0"/>
                <w:color w:val="000000"/>
                <w:sz w:val="28"/>
                <w:szCs w:val="28"/>
              </w:rPr>
              <w:t>（责任单位：</w:t>
            </w:r>
            <w:r>
              <w:rPr>
                <w:rFonts w:hint="eastAsia" w:ascii="楷体_GB2312" w:hAnsi="楷体_GB2312" w:eastAsia="楷体_GB2312" w:cs="楷体_GB2312"/>
                <w:b w:val="0"/>
                <w:bCs w:val="0"/>
                <w:color w:val="000000"/>
                <w:sz w:val="28"/>
                <w:szCs w:val="28"/>
                <w:lang w:eastAsia="zh-CN"/>
              </w:rPr>
              <w:t>市</w:t>
            </w:r>
            <w:r>
              <w:rPr>
                <w:rFonts w:hint="eastAsia" w:ascii="楷体_GB2312" w:hAnsi="楷体_GB2312" w:eastAsia="楷体_GB2312" w:cs="楷体_GB2312"/>
                <w:b w:val="0"/>
                <w:bCs w:val="0"/>
                <w:color w:val="000000"/>
                <w:sz w:val="28"/>
                <w:szCs w:val="28"/>
                <w:lang w:val="en-US" w:eastAsia="zh-CN"/>
              </w:rPr>
              <w:t>工信</w:t>
            </w:r>
            <w:r>
              <w:rPr>
                <w:rFonts w:hint="eastAsia" w:ascii="楷体_GB2312" w:hAnsi="楷体_GB2312" w:eastAsia="楷体_GB2312" w:cs="楷体_GB2312"/>
                <w:b w:val="0"/>
                <w:bCs w:val="0"/>
                <w:color w:val="000000"/>
                <w:sz w:val="28"/>
                <w:szCs w:val="28"/>
                <w:lang w:eastAsia="zh-CN"/>
              </w:rPr>
              <w:t>局、生态环境局、</w:t>
            </w:r>
            <w:r>
              <w:rPr>
                <w:rFonts w:hint="eastAsia" w:ascii="楷体_GB2312" w:hAnsi="楷体_GB2312" w:eastAsia="楷体_GB2312" w:cs="楷体_GB2312"/>
                <w:b w:val="0"/>
                <w:bCs w:val="0"/>
                <w:color w:val="000000"/>
                <w:sz w:val="28"/>
                <w:szCs w:val="28"/>
                <w:lang w:val="en-US" w:eastAsia="zh-CN"/>
              </w:rPr>
              <w:t>市住建局</w:t>
            </w:r>
            <w:r>
              <w:rPr>
                <w:rFonts w:hint="eastAsia" w:ascii="楷体_GB2312" w:hAnsi="楷体_GB2312" w:eastAsia="楷体_GB2312" w:cs="楷体_GB2312"/>
                <w:b w:val="0"/>
                <w:bCs w:val="0"/>
                <w:color w:val="000000"/>
                <w:sz w:val="28"/>
                <w:szCs w:val="28"/>
              </w:rPr>
              <w:t>等按职责分工负责）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560"/>
              <w:textAlignment w:val="auto"/>
              <w:rPr>
                <w:rFonts w:hint="eastAsia" w:ascii="楷体_GB2312" w:hAnsi="楷体_GB2312" w:eastAsia="楷体_GB2312" w:cs="楷体_GB2312"/>
                <w:b w:val="0"/>
                <w:bCs w:val="0"/>
                <w:color w:val="000000"/>
                <w:sz w:val="28"/>
                <w:szCs w:val="28"/>
              </w:rPr>
            </w:pPr>
            <w:r>
              <w:rPr>
                <w:rFonts w:hint="eastAsia" w:ascii="仿宋_GB2312" w:hAnsi="仿宋_GB2312" w:eastAsia="仿宋_GB2312" w:cs="仿宋_GB2312"/>
                <w:b/>
                <w:color w:val="000000"/>
                <w:sz w:val="28"/>
                <w:szCs w:val="28"/>
              </w:rPr>
              <w:t>②入海河流消劣行动。</w:t>
            </w:r>
            <w:r>
              <w:rPr>
                <w:rFonts w:hint="eastAsia" w:ascii="仿宋_GB2312" w:hAnsi="仿宋_GB2312" w:eastAsia="仿宋_GB2312" w:cs="仿宋_GB2312"/>
                <w:color w:val="000000"/>
                <w:sz w:val="28"/>
                <w:szCs w:val="28"/>
              </w:rPr>
              <w:t>“一河一策”开展入海河流环境综合整治，“四源齐控”强化源头减排。推进入海河流“消劣减氮”和入海排污口“查、测、溯、治”，构建流域—河口—近岸海域污染联防联治体系，市控及以上河流入海断面全面消除劣Ⅴ类。推进水产养殖入海排放口治理，促进养殖尾水达标排放或循环利用。</w:t>
            </w:r>
            <w:r>
              <w:rPr>
                <w:rFonts w:hint="eastAsia" w:ascii="楷体_GB2312" w:hAnsi="楷体_GB2312" w:eastAsia="楷体_GB2312" w:cs="楷体_GB2312"/>
                <w:b w:val="0"/>
                <w:bCs w:val="0"/>
                <w:color w:val="000000"/>
                <w:sz w:val="28"/>
                <w:szCs w:val="28"/>
              </w:rPr>
              <w:t>（责任单位：</w:t>
            </w:r>
            <w:r>
              <w:rPr>
                <w:rFonts w:hint="eastAsia" w:ascii="楷体_GB2312" w:hAnsi="楷体_GB2312" w:eastAsia="楷体_GB2312" w:cs="楷体_GB2312"/>
                <w:b w:val="0"/>
                <w:bCs w:val="0"/>
                <w:color w:val="000000"/>
                <w:sz w:val="28"/>
                <w:szCs w:val="28"/>
                <w:lang w:eastAsia="zh-CN"/>
              </w:rPr>
              <w:t>市生态环境局</w:t>
            </w:r>
            <w:r>
              <w:rPr>
                <w:rFonts w:hint="eastAsia" w:ascii="楷体_GB2312" w:hAnsi="楷体_GB2312" w:eastAsia="楷体_GB2312" w:cs="楷体_GB2312"/>
                <w:b w:val="0"/>
                <w:bCs w:val="0"/>
                <w:color w:val="000000"/>
                <w:sz w:val="28"/>
                <w:szCs w:val="28"/>
              </w:rPr>
              <w:t>、</w:t>
            </w:r>
            <w:r>
              <w:rPr>
                <w:rFonts w:hint="eastAsia" w:ascii="楷体_GB2312" w:hAnsi="楷体_GB2312" w:eastAsia="楷体_GB2312" w:cs="楷体_GB2312"/>
                <w:b w:val="0"/>
                <w:bCs w:val="0"/>
                <w:color w:val="000000"/>
                <w:sz w:val="28"/>
                <w:szCs w:val="28"/>
                <w:lang w:eastAsia="zh-CN"/>
              </w:rPr>
              <w:t>市住建局</w:t>
            </w:r>
            <w:r>
              <w:rPr>
                <w:rFonts w:hint="eastAsia" w:ascii="楷体_GB2312" w:hAnsi="楷体_GB2312" w:eastAsia="楷体_GB2312" w:cs="楷体_GB2312"/>
                <w:b w:val="0"/>
                <w:bCs w:val="0"/>
                <w:color w:val="000000"/>
                <w:sz w:val="28"/>
                <w:szCs w:val="28"/>
              </w:rPr>
              <w:t>、</w:t>
            </w:r>
            <w:r>
              <w:rPr>
                <w:rFonts w:hint="eastAsia" w:ascii="楷体_GB2312" w:hAnsi="楷体_GB2312" w:eastAsia="楷体_GB2312" w:cs="楷体_GB2312"/>
                <w:b w:val="0"/>
                <w:bCs w:val="0"/>
                <w:color w:val="000000"/>
                <w:sz w:val="28"/>
                <w:szCs w:val="28"/>
                <w:lang w:eastAsia="zh-CN"/>
              </w:rPr>
              <w:t>水利局</w:t>
            </w:r>
            <w:r>
              <w:rPr>
                <w:rFonts w:hint="eastAsia" w:ascii="楷体_GB2312" w:hAnsi="楷体_GB2312" w:eastAsia="楷体_GB2312" w:cs="楷体_GB2312"/>
                <w:b w:val="0"/>
                <w:bCs w:val="0"/>
                <w:color w:val="000000"/>
                <w:sz w:val="28"/>
                <w:szCs w:val="28"/>
              </w:rPr>
              <w:t>、</w:t>
            </w:r>
            <w:r>
              <w:rPr>
                <w:rFonts w:hint="eastAsia" w:ascii="楷体_GB2312" w:hAnsi="楷体_GB2312" w:eastAsia="楷体_GB2312" w:cs="楷体_GB2312"/>
                <w:b w:val="0"/>
                <w:bCs w:val="0"/>
                <w:color w:val="000000"/>
                <w:sz w:val="28"/>
                <w:szCs w:val="28"/>
                <w:lang w:eastAsia="zh-CN"/>
              </w:rPr>
              <w:t>海洋与渔业局</w:t>
            </w:r>
            <w:r>
              <w:rPr>
                <w:rFonts w:hint="eastAsia" w:ascii="楷体_GB2312" w:hAnsi="楷体_GB2312" w:eastAsia="楷体_GB2312" w:cs="楷体_GB2312"/>
                <w:b w:val="0"/>
                <w:bCs w:val="0"/>
                <w:color w:val="000000"/>
                <w:sz w:val="28"/>
                <w:szCs w:val="28"/>
              </w:rPr>
              <w:t>等按职责分工负责）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562"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③海洋风险防控行动。</w:t>
            </w:r>
            <w:r>
              <w:rPr>
                <w:rFonts w:hint="eastAsia" w:ascii="仿宋_GB2312" w:hAnsi="仿宋_GB2312" w:eastAsia="仿宋_GB2312" w:cs="仿宋_GB2312"/>
                <w:color w:val="000000"/>
                <w:sz w:val="28"/>
                <w:szCs w:val="28"/>
              </w:rPr>
              <w:t>开展海堤除险加固，优化提升海岸带防潮御浪、固堤护岸的减灾功能，实施海堤生态化建设，优化提升海岸带生态系统的减灾功能和海岸防护工程的生态功能。</w:t>
            </w:r>
            <w:r>
              <w:rPr>
                <w:rFonts w:hint="eastAsia" w:ascii="楷体_GB2312" w:hAnsi="楷体_GB2312" w:eastAsia="楷体_GB2312" w:cs="楷体_GB2312"/>
                <w:b w:val="0"/>
                <w:bCs w:val="0"/>
                <w:color w:val="000000"/>
                <w:sz w:val="28"/>
                <w:szCs w:val="28"/>
              </w:rPr>
              <w:t>（责任单位：</w:t>
            </w:r>
            <w:r>
              <w:rPr>
                <w:rFonts w:hint="eastAsia" w:ascii="楷体_GB2312" w:hAnsi="楷体_GB2312" w:eastAsia="楷体_GB2312" w:cs="楷体_GB2312"/>
                <w:b w:val="0"/>
                <w:bCs w:val="0"/>
                <w:color w:val="000000"/>
                <w:sz w:val="28"/>
                <w:szCs w:val="28"/>
                <w:lang w:eastAsia="zh-CN"/>
              </w:rPr>
              <w:t>市水利局</w:t>
            </w:r>
            <w:r>
              <w:rPr>
                <w:rFonts w:hint="eastAsia" w:ascii="楷体_GB2312" w:hAnsi="楷体_GB2312" w:eastAsia="楷体_GB2312" w:cs="楷体_GB2312"/>
                <w:b w:val="0"/>
                <w:bCs w:val="0"/>
                <w:color w:val="000000"/>
                <w:sz w:val="28"/>
                <w:szCs w:val="28"/>
              </w:rPr>
              <w:t>、</w:t>
            </w:r>
            <w:r>
              <w:rPr>
                <w:rFonts w:hint="eastAsia" w:ascii="楷体_GB2312" w:hAnsi="楷体_GB2312" w:eastAsia="楷体_GB2312" w:cs="楷体_GB2312"/>
                <w:b w:val="0"/>
                <w:bCs w:val="0"/>
                <w:color w:val="000000"/>
                <w:sz w:val="28"/>
                <w:szCs w:val="28"/>
                <w:lang w:eastAsia="zh-CN"/>
              </w:rPr>
              <w:t>生态环境局</w:t>
            </w:r>
            <w:r>
              <w:rPr>
                <w:rFonts w:hint="eastAsia" w:ascii="楷体_GB2312" w:hAnsi="楷体_GB2312" w:eastAsia="楷体_GB2312" w:cs="楷体_GB2312"/>
                <w:b w:val="0"/>
                <w:bCs w:val="0"/>
                <w:color w:val="000000"/>
                <w:sz w:val="28"/>
                <w:szCs w:val="28"/>
              </w:rPr>
              <w:t>、</w:t>
            </w:r>
            <w:r>
              <w:rPr>
                <w:rFonts w:hint="eastAsia" w:ascii="楷体_GB2312" w:hAnsi="楷体_GB2312" w:eastAsia="楷体_GB2312" w:cs="楷体_GB2312"/>
                <w:b w:val="0"/>
                <w:bCs w:val="0"/>
                <w:color w:val="000000"/>
                <w:sz w:val="28"/>
                <w:szCs w:val="28"/>
                <w:lang w:eastAsia="zh-CN"/>
              </w:rPr>
              <w:t>海洋与渔业局</w:t>
            </w:r>
            <w:r>
              <w:rPr>
                <w:rFonts w:hint="eastAsia" w:ascii="楷体_GB2312" w:hAnsi="楷体_GB2312" w:eastAsia="楷体_GB2312" w:cs="楷体_GB2312"/>
                <w:b w:val="0"/>
                <w:bCs w:val="0"/>
                <w:color w:val="000000"/>
                <w:sz w:val="28"/>
                <w:szCs w:val="28"/>
              </w:rPr>
              <w:t>、</w:t>
            </w:r>
            <w:r>
              <w:rPr>
                <w:rFonts w:hint="eastAsia" w:ascii="楷体_GB2312" w:hAnsi="楷体_GB2312" w:eastAsia="楷体_GB2312" w:cs="楷体_GB2312"/>
                <w:b w:val="0"/>
                <w:bCs w:val="0"/>
                <w:color w:val="000000"/>
                <w:sz w:val="28"/>
                <w:szCs w:val="28"/>
                <w:lang w:eastAsia="zh-CN"/>
              </w:rPr>
              <w:t>自然资源局</w:t>
            </w:r>
            <w:r>
              <w:rPr>
                <w:rFonts w:hint="eastAsia" w:ascii="楷体_GB2312" w:hAnsi="楷体_GB2312" w:eastAsia="楷体_GB2312" w:cs="楷体_GB2312"/>
                <w:b w:val="0"/>
                <w:bCs w:val="0"/>
                <w:color w:val="000000"/>
                <w:sz w:val="28"/>
                <w:szCs w:val="28"/>
              </w:rPr>
              <w:t>等按职责分工负责）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562"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④海域污染防治行动。</w:t>
            </w:r>
            <w:r>
              <w:rPr>
                <w:rFonts w:hint="eastAsia" w:ascii="仿宋_GB2312" w:hAnsi="仿宋_GB2312" w:eastAsia="仿宋_GB2312" w:cs="仿宋_GB2312"/>
                <w:color w:val="000000"/>
                <w:sz w:val="28"/>
                <w:szCs w:val="28"/>
              </w:rPr>
              <w:t>组织召开船舶污染物联席会议，运用电子联单系统，加强船舶污染防控。完善沿海污水处理网络，实施“以水定产”，靶向治理超排养殖尾水，全方位推进港口船舶污染整治和近岸海水养殖污染攻坚，加快海上养殖转型升</w:t>
            </w:r>
            <w:r>
              <w:rPr>
                <w:rFonts w:hint="eastAsia" w:ascii="仿宋_GB2312" w:hAnsi="仿宋_GB2312" w:eastAsia="仿宋_GB2312" w:cs="仿宋_GB2312"/>
                <w:color w:val="000000"/>
                <w:sz w:val="28"/>
                <w:szCs w:val="28"/>
                <w:lang w:eastAsia="zh-CN"/>
              </w:rPr>
              <w:t>级和</w:t>
            </w:r>
            <w:r>
              <w:rPr>
                <w:rFonts w:hint="eastAsia" w:ascii="仿宋_GB2312" w:hAnsi="仿宋_GB2312" w:eastAsia="仿宋_GB2312" w:cs="仿宋_GB2312"/>
                <w:color w:val="000000"/>
                <w:sz w:val="28"/>
                <w:szCs w:val="28"/>
              </w:rPr>
              <w:t>淘汰废弃养殖设施清退，指导养殖业主清洁生产和渔业养殖区保洁</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20</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5年实现近岸海域一、二类海水水质比例达9</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%以上。</w:t>
            </w:r>
            <w:r>
              <w:rPr>
                <w:rFonts w:hint="eastAsia" w:ascii="楷体_GB2312" w:hAnsi="楷体_GB2312" w:eastAsia="楷体_GB2312" w:cs="楷体_GB2312"/>
                <w:b w:val="0"/>
                <w:bCs w:val="0"/>
                <w:color w:val="000000"/>
                <w:sz w:val="28"/>
                <w:szCs w:val="28"/>
              </w:rPr>
              <w:t>（责任单位：</w:t>
            </w:r>
            <w:r>
              <w:rPr>
                <w:rFonts w:hint="eastAsia" w:ascii="楷体_GB2312" w:hAnsi="楷体_GB2312" w:eastAsia="楷体_GB2312" w:cs="楷体_GB2312"/>
                <w:b w:val="0"/>
                <w:bCs w:val="0"/>
                <w:color w:val="000000"/>
                <w:sz w:val="28"/>
                <w:szCs w:val="28"/>
                <w:lang w:eastAsia="zh-CN"/>
              </w:rPr>
              <w:t>市生态环境局</w:t>
            </w:r>
            <w:r>
              <w:rPr>
                <w:rFonts w:hint="eastAsia" w:ascii="楷体_GB2312" w:hAnsi="楷体_GB2312" w:eastAsia="楷体_GB2312" w:cs="楷体_GB2312"/>
                <w:b w:val="0"/>
                <w:bCs w:val="0"/>
                <w:color w:val="000000"/>
                <w:sz w:val="28"/>
                <w:szCs w:val="28"/>
              </w:rPr>
              <w:t>、</w:t>
            </w:r>
            <w:r>
              <w:rPr>
                <w:rFonts w:hint="eastAsia" w:ascii="楷体_GB2312" w:hAnsi="楷体_GB2312" w:eastAsia="楷体_GB2312" w:cs="楷体_GB2312"/>
                <w:b w:val="0"/>
                <w:bCs w:val="0"/>
                <w:color w:val="000000"/>
                <w:sz w:val="28"/>
                <w:szCs w:val="28"/>
                <w:lang w:eastAsia="zh-CN"/>
              </w:rPr>
              <w:t>交通运输局</w:t>
            </w:r>
            <w:r>
              <w:rPr>
                <w:rFonts w:hint="eastAsia" w:ascii="楷体_GB2312" w:hAnsi="楷体_GB2312" w:eastAsia="楷体_GB2312" w:cs="楷体_GB2312"/>
                <w:b w:val="0"/>
                <w:bCs w:val="0"/>
                <w:color w:val="000000"/>
                <w:sz w:val="28"/>
                <w:szCs w:val="28"/>
              </w:rPr>
              <w:t>、</w:t>
            </w:r>
            <w:r>
              <w:rPr>
                <w:rFonts w:hint="eastAsia" w:ascii="楷体_GB2312" w:hAnsi="楷体_GB2312" w:eastAsia="楷体_GB2312" w:cs="楷体_GB2312"/>
                <w:b w:val="0"/>
                <w:bCs w:val="0"/>
                <w:color w:val="000000"/>
                <w:sz w:val="28"/>
                <w:szCs w:val="28"/>
                <w:lang w:eastAsia="zh-CN"/>
              </w:rPr>
              <w:t>海洋与渔业局</w:t>
            </w:r>
            <w:r>
              <w:rPr>
                <w:rFonts w:hint="eastAsia" w:ascii="楷体_GB2312" w:hAnsi="楷体_GB2312" w:eastAsia="楷体_GB2312" w:cs="楷体_GB2312"/>
                <w:b w:val="0"/>
                <w:bCs w:val="0"/>
                <w:color w:val="000000"/>
                <w:sz w:val="28"/>
                <w:szCs w:val="28"/>
              </w:rPr>
              <w:t>、</w:t>
            </w:r>
            <w:r>
              <w:rPr>
                <w:rFonts w:hint="eastAsia" w:ascii="楷体_GB2312" w:hAnsi="楷体_GB2312" w:eastAsia="楷体_GB2312" w:cs="楷体_GB2312"/>
                <w:b w:val="0"/>
                <w:bCs w:val="0"/>
                <w:color w:val="000000"/>
                <w:sz w:val="28"/>
                <w:szCs w:val="28"/>
                <w:lang w:val="en-US" w:eastAsia="zh-CN"/>
              </w:rPr>
              <w:t>莆田</w:t>
            </w:r>
            <w:r>
              <w:rPr>
                <w:rFonts w:hint="eastAsia" w:ascii="楷体_GB2312" w:hAnsi="楷体_GB2312" w:eastAsia="楷体_GB2312" w:cs="楷体_GB2312"/>
                <w:b w:val="0"/>
                <w:bCs w:val="0"/>
                <w:color w:val="000000"/>
                <w:sz w:val="28"/>
                <w:szCs w:val="28"/>
              </w:rPr>
              <w:t>海事局等按职责分工负责）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562"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⑤海漂垃圾治理行动。</w:t>
            </w:r>
            <w:r>
              <w:rPr>
                <w:rFonts w:hint="eastAsia" w:ascii="仿宋_GB2312" w:hAnsi="仿宋_GB2312" w:eastAsia="仿宋_GB2312" w:cs="仿宋_GB2312"/>
                <w:color w:val="000000"/>
                <w:sz w:val="28"/>
                <w:szCs w:val="28"/>
              </w:rPr>
              <w:t>坚持海漂垃圾源头控、海面清、岸上管，充实海上环卫力量，因地制宜设置海上环卫船只靠泊码头和上岸垃圾集中堆场，完善海漂垃圾智能监管网络，推进海漂垃圾智慧治理，实现陆海环卫无缝衔接。督促指导县区加强渔业养殖区垃圾清理和保洁。</w:t>
            </w:r>
            <w:r>
              <w:rPr>
                <w:rFonts w:hint="eastAsia" w:ascii="楷体_GB2312" w:hAnsi="楷体_GB2312" w:eastAsia="楷体_GB2312" w:cs="楷体_GB2312"/>
                <w:b w:val="0"/>
                <w:bCs w:val="0"/>
                <w:color w:val="000000"/>
                <w:sz w:val="28"/>
                <w:szCs w:val="28"/>
              </w:rPr>
              <w:t>（责任单位：</w:t>
            </w:r>
            <w:r>
              <w:rPr>
                <w:rFonts w:hint="eastAsia" w:ascii="楷体_GB2312" w:hAnsi="楷体_GB2312" w:eastAsia="楷体_GB2312" w:cs="楷体_GB2312"/>
                <w:b w:val="0"/>
                <w:bCs w:val="0"/>
                <w:color w:val="000000"/>
                <w:sz w:val="28"/>
                <w:szCs w:val="28"/>
                <w:lang w:eastAsia="zh-CN"/>
              </w:rPr>
              <w:t>市生态环境局</w:t>
            </w:r>
            <w:r>
              <w:rPr>
                <w:rFonts w:hint="eastAsia" w:ascii="楷体_GB2312" w:hAnsi="楷体_GB2312" w:eastAsia="楷体_GB2312" w:cs="楷体_GB2312"/>
                <w:b w:val="0"/>
                <w:bCs w:val="0"/>
                <w:color w:val="000000"/>
                <w:sz w:val="28"/>
                <w:szCs w:val="28"/>
              </w:rPr>
              <w:t>、</w:t>
            </w:r>
            <w:r>
              <w:rPr>
                <w:rFonts w:hint="eastAsia" w:ascii="楷体_GB2312" w:hAnsi="楷体_GB2312" w:eastAsia="楷体_GB2312" w:cs="楷体_GB2312"/>
                <w:b w:val="0"/>
                <w:bCs w:val="0"/>
                <w:color w:val="000000"/>
                <w:sz w:val="28"/>
                <w:szCs w:val="28"/>
                <w:lang w:eastAsia="zh-CN"/>
              </w:rPr>
              <w:t>海洋与渔业局</w:t>
            </w:r>
            <w:r>
              <w:rPr>
                <w:rFonts w:hint="eastAsia" w:ascii="楷体_GB2312" w:hAnsi="楷体_GB2312" w:eastAsia="楷体_GB2312" w:cs="楷体_GB2312"/>
                <w:b w:val="0"/>
                <w:bCs w:val="0"/>
                <w:color w:val="000000"/>
                <w:sz w:val="28"/>
                <w:szCs w:val="28"/>
              </w:rPr>
              <w:t>、</w:t>
            </w:r>
            <w:r>
              <w:rPr>
                <w:rFonts w:hint="eastAsia" w:ascii="楷体_GB2312" w:hAnsi="楷体_GB2312" w:eastAsia="楷体_GB2312" w:cs="楷体_GB2312"/>
                <w:b w:val="0"/>
                <w:bCs w:val="0"/>
                <w:color w:val="000000"/>
                <w:sz w:val="28"/>
                <w:szCs w:val="28"/>
                <w:lang w:eastAsia="zh-CN"/>
              </w:rPr>
              <w:t>城市管理局</w:t>
            </w:r>
            <w:r>
              <w:rPr>
                <w:rFonts w:hint="eastAsia" w:ascii="楷体_GB2312" w:hAnsi="楷体_GB2312" w:eastAsia="楷体_GB2312" w:cs="楷体_GB2312"/>
                <w:b w:val="0"/>
                <w:bCs w:val="0"/>
                <w:color w:val="000000"/>
                <w:sz w:val="28"/>
                <w:szCs w:val="28"/>
              </w:rPr>
              <w:t>等按职责分工负责）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155" w:leftChars="50" w:right="155" w:rightChars="50" w:firstLine="562" w:firstLineChars="200"/>
              <w:textAlignment w:val="auto"/>
              <w:outlineLvl w:val="9"/>
              <w:rPr>
                <w:rFonts w:hint="eastAsia" w:ascii="楷体_GB2312" w:hAnsi="楷体_GB2312" w:eastAsia="楷体_GB2312" w:cs="楷体_GB2312"/>
                <w:b w:val="0"/>
                <w:bCs w:val="0"/>
                <w:color w:val="000000"/>
                <w:sz w:val="28"/>
                <w:szCs w:val="28"/>
                <w:lang w:val="en-US" w:eastAsia="zh-CN"/>
              </w:rPr>
            </w:pPr>
            <w:r>
              <w:rPr>
                <w:rFonts w:hint="eastAsia" w:ascii="仿宋_GB2312" w:hAnsi="仿宋_GB2312" w:eastAsia="仿宋_GB2312" w:cs="仿宋_GB2312"/>
                <w:b/>
                <w:bCs/>
                <w:color w:val="000000"/>
                <w:sz w:val="28"/>
                <w:szCs w:val="28"/>
                <w:lang w:val="en-US" w:eastAsia="zh-CN"/>
              </w:rPr>
              <w:t>⑥公共交通建设行动。</w:t>
            </w:r>
            <w:r>
              <w:rPr>
                <w:rFonts w:hint="eastAsia" w:ascii="仿宋_GB2312" w:hAnsi="仿宋_GB2312" w:eastAsia="仿宋_GB2312" w:cs="仿宋_GB2312"/>
                <w:b w:val="0"/>
                <w:bCs w:val="0"/>
                <w:color w:val="000000"/>
                <w:sz w:val="28"/>
                <w:szCs w:val="28"/>
                <w:lang w:val="en-US" w:eastAsia="zh-CN"/>
              </w:rPr>
              <w:t>推行公交城市建设，加强新能源或清洁能源汽车的应用推广。推进人行道净化行动，持续开展城市道路窨井盖排查整治，确保人行道连续畅通。推动低碳交通网络建设，完善新能源汽车配套设施建设，鼓励发展低碳物流。</w:t>
            </w:r>
            <w:r>
              <w:rPr>
                <w:rFonts w:hint="eastAsia" w:ascii="楷体_GB2312" w:hAnsi="楷体_GB2312" w:eastAsia="楷体_GB2312" w:cs="楷体_GB2312"/>
                <w:b w:val="0"/>
                <w:bCs w:val="0"/>
                <w:color w:val="000000"/>
                <w:sz w:val="28"/>
                <w:szCs w:val="28"/>
                <w:lang w:val="en-US" w:eastAsia="zh-CN"/>
              </w:rPr>
              <w:t>（责任单位：市交通运输局、城市管理局、住建局、发改委、商务局等按职责分工负责）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155" w:leftChars="50" w:right="155" w:rightChars="50" w:firstLine="562" w:firstLineChars="200"/>
              <w:textAlignment w:val="auto"/>
              <w:outlineLvl w:val="9"/>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bCs/>
                <w:color w:val="000000"/>
                <w:sz w:val="28"/>
                <w:szCs w:val="28"/>
                <w:lang w:eastAsia="zh-CN"/>
              </w:rPr>
              <w:t>⑦“无废城市”</w:t>
            </w:r>
            <w:r>
              <w:rPr>
                <w:rFonts w:hint="eastAsia" w:ascii="仿宋_GB2312" w:hAnsi="仿宋_GB2312" w:eastAsia="仿宋_GB2312" w:cs="仿宋_GB2312"/>
                <w:b/>
                <w:bCs/>
                <w:color w:val="000000"/>
                <w:sz w:val="28"/>
                <w:szCs w:val="28"/>
                <w:lang w:val="en-US" w:eastAsia="zh-CN"/>
              </w:rPr>
              <w:t>建设行动</w:t>
            </w: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b w:val="0"/>
                <w:bCs w:val="0"/>
                <w:color w:val="000000"/>
                <w:sz w:val="28"/>
                <w:szCs w:val="28"/>
                <w:lang w:eastAsia="zh-CN"/>
              </w:rPr>
              <w:t>推进全域各具特色的“无废城市”建设，培育“无废城市”建设动能，谋划全面推动“无废城市”建设项目工程，优先在湄洲岛和木兰溪流域开展“‘无废城市’细胞”创建。强化监督执法，整合各部门现有固体废物管理平台，实现固体废物管理信息“一张网”。</w:t>
            </w:r>
            <w:r>
              <w:rPr>
                <w:rFonts w:hint="eastAsia" w:ascii="楷体_GB2312" w:hAnsi="楷体_GB2312" w:eastAsia="楷体_GB2312" w:cs="楷体_GB2312"/>
                <w:b w:val="0"/>
                <w:bCs w:val="0"/>
                <w:color w:val="000000"/>
                <w:sz w:val="28"/>
                <w:szCs w:val="28"/>
                <w:lang w:val="en-US" w:eastAsia="zh-CN"/>
              </w:rPr>
              <w:t>（责任单位：市生态环境局、发改委、工信局、自然资源局、城市管理局、商务局、文旅局、卫健委等按职责分工负责）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155" w:leftChars="50" w:right="155" w:rightChars="50" w:firstLine="562" w:firstLineChars="200"/>
              <w:textAlignment w:val="auto"/>
              <w:outlineLvl w:val="9"/>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bCs/>
                <w:color w:val="000000"/>
                <w:sz w:val="28"/>
                <w:szCs w:val="28"/>
                <w:lang w:val="en-US" w:eastAsia="zh-CN"/>
              </w:rPr>
              <w:t>⑧城市空气清新行动</w:t>
            </w: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推进重点行业挥发性有机物综合治理及氮氧化物、烟粉尘污染治理，强化荔城区、城厢区、涵江区、秀屿区等重点控制区大气联防联控联治。建立绿色配送体系，推广新能源车辆应用。加强面源污染、餐饮油烟污染以及建筑工地、道路扬尘管控，持续改善城市环境空气质量，力争城市PM2.5年平均浓度持续下降。</w:t>
            </w:r>
            <w:r>
              <w:rPr>
                <w:rFonts w:hint="eastAsia" w:ascii="楷体_GB2312" w:hAnsi="楷体_GB2312" w:eastAsia="楷体_GB2312" w:cs="楷体_GB2312"/>
                <w:b w:val="0"/>
                <w:bCs w:val="0"/>
                <w:color w:val="000000"/>
                <w:sz w:val="28"/>
                <w:szCs w:val="28"/>
                <w:lang w:val="en-US" w:eastAsia="zh-CN"/>
              </w:rPr>
              <w:t>（责任单位：市生态环境局、交通运输局、住建局、自然资源局、湄洲湾港口发展中心、城市管理局、工信局、市场监管局、发改委等按职责分工负责）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155" w:leftChars="50" w:right="155" w:rightChars="50" w:firstLine="562" w:firstLineChars="200"/>
              <w:textAlignment w:val="auto"/>
              <w:outlineLvl w:val="9"/>
              <w:rPr>
                <w:rFonts w:hint="eastAsia" w:ascii="仿宋_GB2312" w:hAnsi="仿宋_GB2312" w:eastAsia="仿宋_GB2312" w:cs="仿宋_GB2312"/>
                <w:b w:val="0"/>
                <w:bCs w:val="0"/>
                <w:color w:val="000000"/>
                <w:sz w:val="28"/>
                <w:szCs w:val="28"/>
                <w:lang w:eastAsia="zh-CN"/>
              </w:rPr>
            </w:pPr>
            <w:r>
              <w:rPr>
                <w:rFonts w:hint="eastAsia" w:ascii="仿宋_GB2312" w:hAnsi="仿宋_GB2312" w:eastAsia="仿宋_GB2312" w:cs="仿宋_GB2312"/>
                <w:b/>
                <w:bCs/>
                <w:color w:val="000000"/>
                <w:sz w:val="28"/>
                <w:szCs w:val="28"/>
                <w:lang w:val="en-US" w:eastAsia="zh-CN"/>
              </w:rPr>
              <w:t>⑨城市碧水整治行动</w:t>
            </w: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深入推进城市、农村黑臭水体治理，全面开展水质检测、整治和处置。到2027年，城市生活污水集中收集率达70%以上，全市农村生活污水处理率达到75%；到2035年，全市城乡污水基本实现全处理，全市再生水利用率达到70%以上，支撑构建绿色、生态、安全的水生态环境。推进造纸、制革、印染等重点行业企业专项治理，提升污水收集处理率，鼓励开展尾水提标改造和回收，强化源头减排。持续开展小流域整治，坚持“一河一策”和“四有机制”综合治理要求，持续开展“清四乱”行动。制定出台木兰溪生态流量保障方案，维护河湖生态系统功能。</w:t>
            </w:r>
            <w:r>
              <w:rPr>
                <w:rFonts w:hint="eastAsia" w:ascii="楷体_GB2312" w:hAnsi="楷体_GB2312" w:eastAsia="楷体_GB2312" w:cs="楷体_GB2312"/>
                <w:b w:val="0"/>
                <w:bCs w:val="0"/>
                <w:color w:val="000000"/>
                <w:sz w:val="28"/>
                <w:szCs w:val="28"/>
                <w:lang w:val="en-US" w:eastAsia="zh-CN"/>
              </w:rPr>
              <w:t>（责任单位：市住建局、生态环境局、水利局、发改委、农业农村局等按职责分工负责）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155" w:leftChars="50" w:right="155" w:rightChars="50" w:firstLine="562" w:firstLineChars="200"/>
              <w:textAlignment w:val="auto"/>
              <w:outlineLvl w:val="9"/>
              <w:rPr>
                <w:rFonts w:hint="eastAsia"/>
                <w:color w:val="000000"/>
                <w:lang w:val="en-US" w:eastAsia="zh-CN"/>
              </w:rPr>
            </w:pPr>
            <w:r>
              <w:rPr>
                <w:rFonts w:hint="eastAsia" w:ascii="仿宋_GB2312" w:hAnsi="仿宋_GB2312" w:eastAsia="仿宋_GB2312" w:cs="仿宋_GB2312"/>
                <w:b/>
                <w:bCs/>
                <w:color w:val="000000"/>
                <w:sz w:val="28"/>
                <w:szCs w:val="28"/>
                <w:lang w:val="en-US" w:eastAsia="zh-CN"/>
              </w:rPr>
              <w:t>⑩</w:t>
            </w:r>
            <w:r>
              <w:rPr>
                <w:rFonts w:hint="eastAsia" w:ascii="仿宋_GB2312" w:hAnsi="仿宋_GB2312" w:eastAsia="仿宋_GB2312" w:cs="仿宋_GB2312"/>
                <w:b/>
                <w:bCs/>
                <w:color w:val="000000"/>
                <w:sz w:val="28"/>
                <w:szCs w:val="28"/>
                <w:lang w:eastAsia="zh-CN"/>
              </w:rPr>
              <w:t>建设用地管控</w:t>
            </w:r>
            <w:r>
              <w:rPr>
                <w:rFonts w:hint="eastAsia" w:ascii="仿宋_GB2312" w:hAnsi="仿宋_GB2312" w:eastAsia="仿宋_GB2312" w:cs="仿宋_GB2312"/>
                <w:b/>
                <w:bCs/>
                <w:color w:val="000000"/>
                <w:sz w:val="28"/>
                <w:szCs w:val="28"/>
                <w:lang w:val="en-US" w:eastAsia="zh-CN"/>
              </w:rPr>
              <w:t>行动</w:t>
            </w:r>
            <w:r>
              <w:rPr>
                <w:rFonts w:hint="eastAsia" w:ascii="仿宋_GB2312" w:hAnsi="仿宋_GB2312" w:eastAsia="仿宋_GB2312" w:cs="仿宋_GB2312"/>
                <w:b/>
                <w:bCs/>
                <w:color w:val="000000"/>
                <w:sz w:val="28"/>
                <w:szCs w:val="28"/>
                <w:lang w:eastAsia="zh-CN"/>
              </w:rPr>
              <w:t>。</w:t>
            </w:r>
            <w:r>
              <w:rPr>
                <w:rFonts w:hint="eastAsia" w:ascii="仿宋_GB2312" w:hAnsi="仿宋_GB2312" w:eastAsia="仿宋_GB2312" w:cs="仿宋_GB2312"/>
                <w:b w:val="0"/>
                <w:bCs w:val="0"/>
                <w:color w:val="000000"/>
                <w:sz w:val="28"/>
                <w:szCs w:val="28"/>
                <w:lang w:val="en-US" w:eastAsia="zh-CN"/>
              </w:rPr>
              <w:t>注重建设用地安全永续利用，规范建设用地土壤污染风险管控和修复名录建立、管理、退出的管理。落实土壤污染状况调查评估，健全建设用地全生命周期联动监管，重点建设用地安全利用实现有效保障。</w:t>
            </w:r>
            <w:r>
              <w:rPr>
                <w:rFonts w:hint="eastAsia" w:ascii="楷体_GB2312" w:hAnsi="楷体_GB2312" w:eastAsia="楷体_GB2312" w:cs="楷体_GB2312"/>
                <w:b w:val="0"/>
                <w:bCs w:val="0"/>
                <w:color w:val="000000"/>
                <w:sz w:val="28"/>
                <w:szCs w:val="28"/>
                <w:lang w:val="en-US" w:eastAsia="zh-CN"/>
              </w:rPr>
              <w:t>（责任单位：市生态环境局、自然资源局等按职责分工负责）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155" w:leftChars="50" w:right="155" w:rightChars="50" w:firstLine="562" w:firstLineChars="200"/>
              <w:textAlignment w:val="auto"/>
              <w:outlineLvl w:val="9"/>
              <w:rPr>
                <w:rFonts w:hint="eastAsia" w:ascii="楷体_GB2312" w:hAnsi="楷体_GB2312" w:eastAsia="楷体_GB2312" w:cs="楷体_GB2312"/>
                <w:b w:val="0"/>
                <w:bCs w:val="0"/>
                <w:color w:val="000000"/>
                <w:sz w:val="28"/>
                <w:szCs w:val="28"/>
              </w:rPr>
            </w:pPr>
            <w:r>
              <w:rPr>
                <w:rFonts w:hint="eastAsia" w:ascii="仿宋_GB2312" w:hAnsi="仿宋_GB2312" w:eastAsia="仿宋_GB2312" w:cs="仿宋_GB2312"/>
                <w:b/>
                <w:bCs/>
                <w:color w:val="000000"/>
                <w:sz w:val="28"/>
                <w:szCs w:val="28"/>
                <w:lang w:eastAsia="zh-CN"/>
              </w:rPr>
              <w:t>⑪</w:t>
            </w:r>
            <w:r>
              <w:rPr>
                <w:rFonts w:hint="eastAsia" w:ascii="仿宋_GB2312" w:hAnsi="仿宋_GB2312" w:eastAsia="仿宋_GB2312" w:cs="仿宋_GB2312"/>
                <w:b/>
                <w:bCs/>
                <w:color w:val="000000"/>
                <w:sz w:val="28"/>
                <w:szCs w:val="28"/>
              </w:rPr>
              <w:t>防灾能力提升</w:t>
            </w:r>
            <w:r>
              <w:rPr>
                <w:rFonts w:hint="eastAsia" w:ascii="仿宋_GB2312" w:hAnsi="仿宋_GB2312" w:eastAsia="仿宋_GB2312" w:cs="仿宋_GB2312"/>
                <w:b/>
                <w:bCs/>
                <w:color w:val="000000"/>
                <w:sz w:val="28"/>
                <w:szCs w:val="28"/>
                <w:lang w:val="en-US" w:eastAsia="zh-CN"/>
              </w:rPr>
              <w:t>行动</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b w:val="0"/>
                <w:bCs w:val="0"/>
                <w:color w:val="000000"/>
                <w:sz w:val="28"/>
                <w:szCs w:val="28"/>
                <w:lang w:val="en-US" w:eastAsia="zh-CN"/>
              </w:rPr>
              <w:t>搭建部门协同联动、信息共建共享的预报预警平台，实现全链条监测预警；抓好绿色空间建设，健全市内主要风险区的防洪排涝能力建设，优化完善周边交通体系；配合省</w:t>
            </w:r>
            <w:r>
              <w:rPr>
                <w:rFonts w:hint="eastAsia" w:ascii="仿宋_GB2312" w:hAnsi="仿宋_GB2312" w:cs="仿宋_GB2312"/>
                <w:b w:val="0"/>
                <w:bCs w:val="0"/>
                <w:color w:val="auto"/>
                <w:sz w:val="28"/>
                <w:szCs w:val="28"/>
                <w:lang w:val="en-US" w:eastAsia="zh-CN"/>
              </w:rPr>
              <w:t>应急管理</w:t>
            </w:r>
            <w:r>
              <w:rPr>
                <w:rFonts w:hint="eastAsia" w:ascii="仿宋_GB2312" w:hAnsi="仿宋_GB2312" w:eastAsia="仿宋_GB2312" w:cs="仿宋_GB2312"/>
                <w:b w:val="0"/>
                <w:bCs w:val="0"/>
                <w:color w:val="auto"/>
                <w:sz w:val="28"/>
                <w:szCs w:val="28"/>
                <w:lang w:val="en-US" w:eastAsia="zh-CN"/>
              </w:rPr>
              <w:t>厅</w:t>
            </w:r>
            <w:r>
              <w:rPr>
                <w:rFonts w:hint="eastAsia" w:ascii="仿宋_GB2312" w:hAnsi="仿宋_GB2312" w:cs="仿宋_GB2312"/>
                <w:b w:val="0"/>
                <w:bCs w:val="0"/>
                <w:color w:val="auto"/>
                <w:sz w:val="28"/>
                <w:szCs w:val="28"/>
                <w:lang w:val="en-US" w:eastAsia="zh-CN"/>
              </w:rPr>
              <w:t>、自然资源厅</w:t>
            </w:r>
            <w:r>
              <w:rPr>
                <w:rFonts w:hint="eastAsia" w:ascii="仿宋_GB2312" w:hAnsi="仿宋_GB2312" w:eastAsia="仿宋_GB2312" w:cs="仿宋_GB2312"/>
                <w:b w:val="0"/>
                <w:bCs w:val="0"/>
                <w:color w:val="000000"/>
                <w:sz w:val="28"/>
                <w:szCs w:val="28"/>
                <w:lang w:val="en-US" w:eastAsia="zh-CN"/>
              </w:rPr>
              <w:t>开展地震灾害风险普查、自然灾害综合风险普查数据修正、区划评估等工作。</w:t>
            </w:r>
            <w:r>
              <w:rPr>
                <w:rFonts w:hint="eastAsia" w:ascii="楷体_GB2312" w:hAnsi="楷体_GB2312" w:eastAsia="楷体_GB2312" w:cs="楷体_GB2312"/>
                <w:b w:val="0"/>
                <w:bCs w:val="0"/>
                <w:color w:val="000000"/>
                <w:sz w:val="28"/>
                <w:szCs w:val="28"/>
                <w:lang w:val="en-US" w:eastAsia="zh-CN"/>
              </w:rPr>
              <w:t>（责任单位：市住建局、城市管理局、自然资源局、水利局、气象局、应急管理局等按职责分工负责）</w:t>
            </w:r>
          </w:p>
        </w:tc>
      </w:tr>
    </w:tbl>
    <w:p>
      <w:pPr>
        <w:spacing w:line="580" w:lineRule="exact"/>
        <w:ind w:firstLine="640" w:firstLineChars="200"/>
        <w:outlineLvl w:val="0"/>
        <w:rPr>
          <w:rStyle w:val="13"/>
          <w:rFonts w:hint="eastAsia" w:ascii="黑体" w:hAnsi="黑体" w:eastAsia="黑体" w:cs="黑体"/>
          <w:b w:val="0"/>
          <w:bCs/>
          <w:i w:val="0"/>
          <w:iCs w:val="0"/>
          <w:caps w:val="0"/>
          <w:color w:val="000000"/>
          <w:spacing w:val="0"/>
          <w:kern w:val="0"/>
          <w:sz w:val="32"/>
          <w:szCs w:val="32"/>
          <w:shd w:val="clear" w:color="auto" w:fill="FFFFFF"/>
          <w:lang w:val="en-US" w:eastAsia="zh-CN" w:bidi="ar"/>
        </w:rPr>
      </w:pPr>
      <w:bookmarkStart w:id="14" w:name="_Toc7258"/>
      <w:r>
        <w:rPr>
          <w:rStyle w:val="13"/>
          <w:rFonts w:hint="eastAsia" w:ascii="黑体" w:hAnsi="黑体" w:eastAsia="黑体" w:cs="黑体"/>
          <w:b w:val="0"/>
          <w:bCs/>
          <w:i w:val="0"/>
          <w:iCs w:val="0"/>
          <w:caps w:val="0"/>
          <w:color w:val="000000"/>
          <w:spacing w:val="0"/>
          <w:kern w:val="0"/>
          <w:sz w:val="32"/>
          <w:szCs w:val="32"/>
          <w:shd w:val="clear" w:color="auto" w:fill="FFFFFF"/>
          <w:lang w:val="en-US" w:eastAsia="zh-CN" w:bidi="ar"/>
        </w:rPr>
        <w:t>四、勇立生态文明改革创新浪尖</w:t>
      </w:r>
      <w:bookmarkEnd w:id="14"/>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outlineLvl w:val="1"/>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bookmarkStart w:id="15" w:name="_Toc9734"/>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（十一）打造木兰溪治理新样本</w:t>
      </w:r>
      <w:bookmarkEnd w:id="15"/>
    </w:p>
    <w:p>
      <w:pPr>
        <w:pStyle w:val="2"/>
        <w:spacing w:line="580" w:lineRule="exact"/>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坚持良好生态环境是最普惠的民生福祉，深入践行“青山绿水是无价之宝”等重要理念，着力推进生态产业链开发、生态价值链提升，大力传承创新和弘扬为全省、全国提供可复制、可借鉴的木兰溪治理经验，打造“木兰溪”生态产品区域公用品牌。全方位贯彻“四水四定”原则，深化木兰溪全流域系统治理，把木兰溪打造成践行习近平生态文明思想的全流域展示带、全要素展示馆、全景式展示轴。强化综合治理系统性和整体性，优化空间功能布局，实施绿心保护利用工程。保护好木兰溪两岸现有的荔枝林带，加快建设水上巴士、木兰溪十里风光带，让木兰溪沿岸的高档住宅楼、办公楼、酒店与自然景观融为一体，展示荔林水乡特色风采，不断增强人民群众的获得感、幸福感。开展木兰溪流域山水林田湖草生态保护修复项目，改善木兰溪流域环境质量和生态功能。加强木兰溪水源地保护，争创木兰溪源国家级自然保护区、木兰溪口省级湿地公园，塑造山清水秀生态典范。传承治水文化，建设水利博物馆，推动木兰陂创建5A级世界灌溉工程遗产景区，打造木兰溪水文化传播新平台。推动木兰溪流域滨海水利文化景观列入中国世界文化遗产预备名单。科学统筹生产、生活、生态用水，深入实施节水控水行动，落实落细木兰溪流域和饮用水源“双补偿”机制和更加灵活的生态产品价值实现机制，完善水资源信息化管理治理机制，打造全省节水、用水、护水、兴水的标杆城市。</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outlineLvl w:val="1"/>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bookmarkStart w:id="16" w:name="_Toc12266"/>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（十二）树立湄洲岛建设新标杆</w:t>
      </w:r>
      <w:bookmarkEnd w:id="16"/>
    </w:p>
    <w:p>
      <w:pPr>
        <w:pStyle w:val="2"/>
        <w:spacing w:line="580" w:lineRule="exact"/>
        <w:rPr>
          <w:rFonts w:hint="eastAsia" w:ascii="仿宋_GB2312" w:hAnsi="仿宋_GB2312" w:eastAsia="仿宋_GB2312" w:cs="仿宋_GB2312"/>
          <w:b/>
          <w:bCs/>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高水平编制完成《莆田市滨海旅游发展规划（2022-2035）》和湄洲岛国土空间分区规划，加强湄洲岛等重要海岛的自然资源和生态系统保育，实施湄洲岛典型岛屿森林生态系统修复工程，开展湄洲岛西亭澳红树林增汇工程，加强湄洲岛红树林保护修复，全面提升海岛森林生态功能，完善岸线沙滩保护机制，打造美丽自然的生态岸线。挖掘莆田滨海旅游特色价值，找准发展定位和品牌形象，明确莆田滨海旅游发展目标、模式路径、推进步骤等。把湄洲岛建成国家生态文明建设示范区和国家文旅产业融合发展示范区，推动湄洲岛以建设“无废海岛”为主题，打造“无废”5A级景区。建设生态零碳岛，积极参与“国际零碳岛屿联盟”，开展国际岛屿零碳合作，巩固全国“和美海岛”创建成果。以湄洲岛5A级旅游景区为龙头，发展以“1号滨海风景道”为主线的滨海旅游。实施湄洲妈祖祖庙等历史文化遗产保护工程，推进生态博物馆群落项目建设，推动《妈祖祭典》等系列妈祖文化规制申报国家标准和地方标准，推进文甲游客集散服务中心提升改造，建设文甲码头综合服务中心、文创商铺及钢架构风雨廊。围绕秀屿区滨海旅游资源，邀请媒体、网红达人、依托赛事活动等，推进旅游宣传，并逐步优化提升一批“可组合、菜单式、好操作”微旅游精品线路。推进滨海旅游项目，不断丰富滨海旅游产品，实现滨海旅游特色价值，打造生态岛、文旅岛、智慧岛和国际旅游目的地。</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outlineLvl w:val="1"/>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bookmarkStart w:id="17" w:name="_Toc30456"/>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（十三）创建山清水秀美丽城市</w:t>
      </w:r>
      <w:bookmarkEnd w:id="17"/>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推进以绿色低碳、环境优美、生态宜居、安全健康、智慧高效为导向的美丽城市建设。彰显荔林水乡特色，大力推进城市更新工程、新区组团工程、生态连绵工程、安全韧性工程，促进城市和县城环境基础设施提级扩能，促进环境公共服务能力与人口、经济规模相适应。拓展宜人生态空间，推动城市“东拓南进西联北优”，全面推动“三轴、两带”建设，高效集约开发“一带三城”重点城镇化地区，实现市域空间统筹发展。加快绶溪公园、土海湿地公园等绿地和沿溪沿河互联互通绿道网络建设，逐步建成山水林田湖城有机融合的“公园城市”。推进森林公园、森林步道改造、提升等生态产品共享工程建设，积极创建省级森林城镇、省级森林村庄。到2027年，全市规划建设口袋公园20个（含仙游），建设1.5平方公里郊野公园，新建或改造提升福道45公里，公园绿化活动场地服务半径覆盖率达87%；到2035年，逐步实现‘三百米见绿，五百米进园’，呈现出城在林中、道在绿中、房在园中、人在景中的城市格局。</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outlineLvl w:val="1"/>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bookmarkStart w:id="18" w:name="_Toc10066"/>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（十四）擘画业兴绿盈美丽乡村</w:t>
      </w:r>
      <w:bookmarkEnd w:id="18"/>
    </w:p>
    <w:p>
      <w:pPr>
        <w:pStyle w:val="2"/>
        <w:spacing w:line="580" w:lineRule="exac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学习运用“千万工程”经验，统筹推动乡村生态振兴和农村人居环境整治。支持发展自然生态、民俗文化、科普研学、红色旅游、康养度假、运动休闲等乡村旅游，开展美丽乡村休闲旅游点、森林人家等创建工作，持续开展农村人居环境整治提升工作。加强农村住宅建设风貌引导，提升既有建筑风貌。支持具有旅游资源的乡村，充分利用农村住宅，开发各具特色的乡村民宿，彰显地方传统韵味风貌，培育乡村生态文旅品牌。推进特色农业集聚提升，培育农业知名品牌，增加农业绿色产品供给，探索生态产业富民路径，实现生态农业产品价值。推动农村饮用水全覆盖，推行“建所到乡、运维到村、服务到户”的三级运行维护机制，确保农村饮用水涵盖全市44个农村镇，覆盖率100%。推进农村生活污水处理，按照“六有机制”总结推广。到2027年，美丽乡村整县建成比例达到50%；到2035年，美丽乡村基本建成。</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outlineLvl w:val="1"/>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bookmarkStart w:id="19" w:name="_Toc10919"/>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（十五）开展全民行动</w:t>
      </w:r>
      <w:bookmarkEnd w:id="19"/>
    </w:p>
    <w:p>
      <w:pPr>
        <w:pStyle w:val="2"/>
        <w:spacing w:line="580" w:lineRule="exact"/>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充分发挥人民群众在生态文明建设中的主体作用，建立社会参与机制，广泛动员群众参加生态文明建设的各项活动。设立“山水诗画  生态韵城”建设官方网站、社交媒体账号以及线下信息公示栏等，及时、全面地发布政策解读信息，确保公众便捷获取。积极开展公众意见征集活动，召开听证会、座谈会，邀请市民代表、专家学者、社会组织等各界人士参与，充分倾听并吸纳合理建议与诉求，注重表彰在建设工作中做出杰出贡献的基层集体以及社会各界人士；以六五环境日、生物多样性日、低碳日等为契机，组织开展公众喜闻乐见的主题宣传活动，号召全社会共同参与建设，使公众成为“山水诗画  生态韵城”建设决策的重要参与者。建立公众意见反馈处理机制，发挥“12345”政务服务便民热线作用，畅通环保监督渠道，鼓励公众参与环境保护监督，对所收集的意见进行整理、分析与回应，向社会公示处理结果，增强透明度和公信力，凝聚全社会力量共同推进建设。倡导简约适度、绿色低碳、文明健康的生活方式和消费模式，持续推进“光盘行动”，发展绿色旅游，鼓励绿色出行，探索建立“碳普惠”等公众参与机制。充分发挥行业协会商会桥梁纽带作用、民间公益环保组织和群团组织广泛动员作用，推进志愿者队伍和监督员队伍建设。强化文旅品牌宣传推广，充分利用互联网、报刊、电视、广播等多媒体宣传平台，全方位、立体式地讲好莆田故事，塑造莆田良好城市文化形象，提升莆田美誉度。</w:t>
      </w:r>
    </w:p>
    <w:p>
      <w:pPr>
        <w:keepNext w:val="0"/>
        <w:keepLines w:val="0"/>
        <w:pageBreakBefore w:val="0"/>
        <w:widowControl/>
        <w:kinsoku/>
        <w:wordWrap/>
        <w:topLinePunct w:val="0"/>
        <w:bidi w:val="0"/>
        <w:spacing w:line="580" w:lineRule="exact"/>
        <w:jc w:val="left"/>
        <w:outlineLvl w:val="9"/>
        <w:rPr>
          <w:rFonts w:hint="default" w:ascii="黑体" w:hAnsi="黑体" w:eastAsia="黑体" w:cs="黑体"/>
          <w:b w:val="0"/>
          <w:bCs w:val="0"/>
          <w:color w:val="000000"/>
          <w:sz w:val="32"/>
          <w:szCs w:val="32"/>
          <w:lang w:val="en-US" w:eastAsia="zh-CN"/>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br w:type="page"/>
      </w:r>
      <w:r>
        <w:rPr>
          <w:rFonts w:hint="eastAsia" w:ascii="黑体" w:hAnsi="黑体" w:eastAsia="黑体" w:cs="黑体"/>
          <w:b w:val="0"/>
          <w:bCs w:val="0"/>
          <w:color w:val="000000"/>
          <w:sz w:val="32"/>
          <w:szCs w:val="32"/>
        </w:rPr>
        <w:t>专栏</w:t>
      </w:r>
      <w:r>
        <w:rPr>
          <w:rFonts w:hint="eastAsia" w:ascii="黑体" w:hAnsi="黑体" w:eastAsia="黑体" w:cs="黑体"/>
          <w:b w:val="0"/>
          <w:bCs w:val="0"/>
          <w:color w:val="000000"/>
          <w:sz w:val="32"/>
          <w:szCs w:val="32"/>
          <w:lang w:val="en-US" w:eastAsia="zh-CN"/>
        </w:rPr>
        <w:t>3</w:t>
      </w:r>
      <w:r>
        <w:rPr>
          <w:rFonts w:hint="eastAsia" w:ascii="黑体" w:hAnsi="黑体" w:eastAsia="黑体" w:cs="黑体"/>
          <w:b w:val="0"/>
          <w:bCs w:val="0"/>
          <w:color w:val="000000"/>
          <w:sz w:val="32"/>
          <w:szCs w:val="32"/>
        </w:rPr>
        <w:t>：</w:t>
      </w:r>
      <w:r>
        <w:rPr>
          <w:rFonts w:hint="eastAsia" w:ascii="黑体" w:hAnsi="黑体" w:eastAsia="黑体" w:cs="黑体"/>
          <w:b w:val="0"/>
          <w:bCs w:val="0"/>
          <w:color w:val="000000"/>
          <w:sz w:val="32"/>
          <w:szCs w:val="32"/>
          <w:lang w:val="en-US" w:eastAsia="zh-CN"/>
        </w:rPr>
        <w:t>勇立生态文明改革创新浪尖具体行动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75" w:hRule="atLeast"/>
          <w:jc w:val="center"/>
        </w:trPr>
        <w:tc>
          <w:tcPr>
            <w:tcW w:w="8671" w:type="dxa"/>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firstLine="562"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lang w:eastAsia="zh-CN"/>
              </w:rPr>
              <w:t>①</w:t>
            </w:r>
            <w:r>
              <w:rPr>
                <w:rFonts w:hint="eastAsia" w:ascii="仿宋_GB2312" w:hAnsi="仿宋_GB2312" w:eastAsia="仿宋_GB2312" w:cs="仿宋_GB2312"/>
                <w:b/>
                <w:bCs/>
                <w:color w:val="000000"/>
                <w:sz w:val="28"/>
                <w:szCs w:val="28"/>
              </w:rPr>
              <w:t>滨海湿地修复行动。</w:t>
            </w:r>
            <w:r>
              <w:rPr>
                <w:rFonts w:hint="eastAsia" w:ascii="仿宋_GB2312" w:hAnsi="仿宋_GB2312" w:eastAsia="仿宋_GB2312" w:cs="仿宋_GB2312"/>
                <w:color w:val="000000"/>
                <w:sz w:val="28"/>
                <w:szCs w:val="28"/>
              </w:rPr>
              <w:t>坚持陆海统筹、河海联动，整体推进</w:t>
            </w:r>
            <w:r>
              <w:rPr>
                <w:rFonts w:hint="eastAsia" w:ascii="仿宋_GB2312" w:hAnsi="仿宋_GB2312" w:eastAsia="仿宋_GB2312" w:cs="仿宋_GB2312"/>
                <w:color w:val="000000"/>
                <w:sz w:val="28"/>
                <w:szCs w:val="28"/>
                <w:highlight w:val="none"/>
              </w:rPr>
              <w:t>红树林</w:t>
            </w:r>
            <w:r>
              <w:rPr>
                <w:rFonts w:hint="eastAsia" w:ascii="仿宋_GB2312" w:hAnsi="仿宋_GB2312" w:eastAsia="仿宋_GB2312" w:cs="仿宋_GB2312"/>
                <w:color w:val="000000"/>
                <w:sz w:val="28"/>
                <w:szCs w:val="28"/>
              </w:rPr>
              <w:t>保护修复、海岸带保护修复，促进自然岸线恢复修复，指导协调湄洲岛</w:t>
            </w:r>
            <w:r>
              <w:rPr>
                <w:rFonts w:hint="eastAsia" w:ascii="仿宋_GB2312" w:hAnsi="仿宋_GB2312" w:eastAsia="仿宋_GB2312" w:cs="仿宋_GB2312"/>
                <w:color w:val="000000"/>
                <w:sz w:val="28"/>
                <w:szCs w:val="28"/>
                <w:lang w:val="en-US" w:eastAsia="zh-CN"/>
              </w:rPr>
              <w:t>管委会</w:t>
            </w:r>
            <w:r>
              <w:rPr>
                <w:rFonts w:hint="eastAsia" w:ascii="仿宋_GB2312" w:hAnsi="仿宋_GB2312" w:eastAsia="仿宋_GB2312" w:cs="仿宋_GB2312"/>
                <w:color w:val="000000"/>
                <w:sz w:val="28"/>
                <w:szCs w:val="28"/>
              </w:rPr>
              <w:t>推进湄洲岛海洋生态修复项目，构建稳定健康的海岸带生态系统。</w:t>
            </w:r>
            <w:r>
              <w:rPr>
                <w:rFonts w:hint="eastAsia" w:ascii="楷体_GB2312" w:hAnsi="楷体_GB2312" w:eastAsia="楷体_GB2312" w:cs="楷体_GB2312"/>
                <w:b w:val="0"/>
                <w:bCs w:val="0"/>
                <w:color w:val="000000"/>
                <w:sz w:val="28"/>
                <w:szCs w:val="28"/>
              </w:rPr>
              <w:t>（责任单位：</w:t>
            </w:r>
            <w:r>
              <w:rPr>
                <w:rFonts w:hint="eastAsia" w:ascii="楷体_GB2312" w:hAnsi="楷体_GB2312" w:eastAsia="楷体_GB2312" w:cs="楷体_GB2312"/>
                <w:b w:val="0"/>
                <w:bCs w:val="0"/>
                <w:color w:val="000000"/>
                <w:sz w:val="28"/>
                <w:szCs w:val="28"/>
                <w:lang w:eastAsia="zh-CN"/>
              </w:rPr>
              <w:t>市自然资源局</w:t>
            </w:r>
            <w:r>
              <w:rPr>
                <w:rFonts w:hint="eastAsia" w:ascii="楷体_GB2312" w:hAnsi="楷体_GB2312" w:eastAsia="楷体_GB2312" w:cs="楷体_GB2312"/>
                <w:b w:val="0"/>
                <w:bCs w:val="0"/>
                <w:color w:val="000000"/>
                <w:sz w:val="28"/>
                <w:szCs w:val="28"/>
              </w:rPr>
              <w:t>、</w:t>
            </w:r>
            <w:r>
              <w:rPr>
                <w:rFonts w:hint="eastAsia" w:ascii="楷体_GB2312" w:hAnsi="楷体_GB2312" w:eastAsia="楷体_GB2312" w:cs="楷体_GB2312"/>
                <w:b w:val="0"/>
                <w:bCs w:val="0"/>
                <w:color w:val="000000"/>
                <w:sz w:val="28"/>
                <w:szCs w:val="28"/>
                <w:lang w:eastAsia="zh-CN"/>
              </w:rPr>
              <w:t>生态环境局</w:t>
            </w:r>
            <w:r>
              <w:rPr>
                <w:rFonts w:hint="eastAsia" w:ascii="楷体_GB2312" w:hAnsi="楷体_GB2312" w:eastAsia="楷体_GB2312" w:cs="楷体_GB2312"/>
                <w:b w:val="0"/>
                <w:bCs w:val="0"/>
                <w:color w:val="000000"/>
                <w:sz w:val="28"/>
                <w:szCs w:val="28"/>
              </w:rPr>
              <w:t>、</w:t>
            </w:r>
            <w:r>
              <w:rPr>
                <w:rFonts w:hint="eastAsia" w:ascii="楷体_GB2312" w:hAnsi="楷体_GB2312" w:eastAsia="楷体_GB2312" w:cs="楷体_GB2312"/>
                <w:b w:val="0"/>
                <w:bCs w:val="0"/>
                <w:color w:val="000000"/>
                <w:sz w:val="28"/>
                <w:szCs w:val="28"/>
                <w:lang w:eastAsia="zh-CN"/>
              </w:rPr>
              <w:t>林业局</w:t>
            </w:r>
            <w:r>
              <w:rPr>
                <w:rFonts w:hint="eastAsia" w:ascii="楷体_GB2312" w:hAnsi="楷体_GB2312" w:eastAsia="楷体_GB2312" w:cs="楷体_GB2312"/>
                <w:b w:val="0"/>
                <w:bCs w:val="0"/>
                <w:color w:val="000000"/>
                <w:sz w:val="28"/>
                <w:szCs w:val="28"/>
              </w:rPr>
              <w:t>等按职责分工负责）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160" w:right="155" w:rightChars="50" w:firstLine="480"/>
              <w:textAlignment w:val="auto"/>
              <w:outlineLvl w:val="9"/>
              <w:rPr>
                <w:rFonts w:hint="eastAsia" w:ascii="仿宋_GB2312" w:hAnsi="仿宋_GB2312" w:eastAsia="仿宋_GB2312" w:cs="仿宋_GB2312"/>
                <w:b w:val="0"/>
                <w:bCs w:val="0"/>
                <w:color w:val="000000"/>
                <w:sz w:val="28"/>
                <w:szCs w:val="28"/>
                <w:lang w:val="en-US" w:eastAsia="zh-CN"/>
              </w:rPr>
            </w:pPr>
            <w:r>
              <w:rPr>
                <w:rFonts w:hint="eastAsia" w:ascii="仿宋_GB2312" w:hAnsi="仿宋_GB2312" w:eastAsia="仿宋_GB2312" w:cs="仿宋_GB2312"/>
                <w:b/>
                <w:bCs/>
                <w:color w:val="000000"/>
                <w:sz w:val="28"/>
                <w:szCs w:val="28"/>
                <w:lang w:val="en-US" w:eastAsia="zh-CN"/>
              </w:rPr>
              <w:t>②</w:t>
            </w:r>
            <w:r>
              <w:rPr>
                <w:rFonts w:hint="eastAsia" w:ascii="仿宋_GB2312" w:hAnsi="仿宋_GB2312" w:eastAsia="仿宋_GB2312" w:cs="仿宋_GB2312"/>
                <w:b/>
                <w:bCs/>
                <w:color w:val="000000"/>
                <w:sz w:val="28"/>
                <w:szCs w:val="28"/>
                <w:lang w:eastAsia="zh-CN"/>
              </w:rPr>
              <w:t>打造</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lang w:eastAsia="zh-CN"/>
              </w:rPr>
              <w:t>凤凰</w:t>
            </w:r>
            <w:r>
              <w:rPr>
                <w:rFonts w:hint="eastAsia" w:ascii="仿宋_GB2312" w:hAnsi="仿宋_GB2312" w:eastAsia="仿宋_GB2312" w:cs="仿宋_GB2312"/>
                <w:b/>
                <w:bCs/>
                <w:color w:val="000000"/>
                <w:sz w:val="28"/>
                <w:szCs w:val="28"/>
              </w:rPr>
              <w:t>福道”。</w:t>
            </w:r>
            <w:r>
              <w:rPr>
                <w:rFonts w:hint="eastAsia" w:ascii="仿宋_GB2312" w:hAnsi="仿宋_GB2312" w:eastAsia="仿宋_GB2312" w:cs="仿宋_GB2312"/>
                <w:b w:val="0"/>
                <w:bCs w:val="0"/>
                <w:color w:val="000000"/>
                <w:sz w:val="28"/>
                <w:szCs w:val="28"/>
                <w:lang w:val="en-US" w:eastAsia="zh-CN"/>
              </w:rPr>
              <w:t>保护利用生态绿心，持续推进“公园绿地+”建设项目，建设功能更加完善的城市公园绿地体系。加快莆田“凤凰福道”、环城生态绿廊的示范段建设。</w:t>
            </w:r>
            <w:r>
              <w:rPr>
                <w:rFonts w:hint="eastAsia" w:ascii="楷体_GB2312" w:hAnsi="楷体_GB2312" w:eastAsia="楷体_GB2312" w:cs="楷体_GB2312"/>
                <w:b w:val="0"/>
                <w:bCs w:val="0"/>
                <w:color w:val="000000"/>
                <w:sz w:val="28"/>
                <w:szCs w:val="28"/>
                <w:lang w:val="en-US" w:eastAsia="zh-CN"/>
              </w:rPr>
              <w:t>（责任单位：市住建局、城市管理局、林业局、自然资源局等按职责分工负责）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155" w:leftChars="50" w:right="155" w:rightChars="50" w:firstLine="562" w:firstLineChars="200"/>
              <w:textAlignment w:val="auto"/>
              <w:outlineLvl w:val="9"/>
              <w:rPr>
                <w:rFonts w:hint="eastAsia" w:ascii="楷体_GB2312" w:hAnsi="楷体_GB2312" w:eastAsia="楷体_GB2312" w:cs="楷体_GB2312"/>
                <w:b w:val="0"/>
                <w:bCs w:val="0"/>
                <w:color w:val="000000"/>
                <w:sz w:val="28"/>
                <w:szCs w:val="28"/>
                <w:lang w:val="en-US" w:eastAsia="zh-CN"/>
              </w:rPr>
            </w:pPr>
            <w:r>
              <w:rPr>
                <w:rFonts w:hint="eastAsia" w:ascii="仿宋_GB2312" w:hAnsi="仿宋_GB2312" w:eastAsia="仿宋_GB2312" w:cs="仿宋_GB2312"/>
                <w:b/>
                <w:bCs/>
                <w:color w:val="000000"/>
                <w:sz w:val="28"/>
                <w:szCs w:val="28"/>
              </w:rPr>
              <w:t>③</w:t>
            </w:r>
            <w:r>
              <w:rPr>
                <w:rFonts w:hint="eastAsia" w:ascii="仿宋_GB2312" w:hAnsi="仿宋_GB2312" w:eastAsia="仿宋_GB2312" w:cs="仿宋_GB2312"/>
                <w:b/>
                <w:bCs/>
                <w:color w:val="000000"/>
                <w:sz w:val="28"/>
                <w:szCs w:val="28"/>
                <w:lang w:val="en-US" w:eastAsia="zh-CN"/>
              </w:rPr>
              <w:t>城市有机更新行动。</w:t>
            </w:r>
            <w:r>
              <w:rPr>
                <w:rFonts w:hint="eastAsia" w:ascii="仿宋_GB2312" w:hAnsi="仿宋_GB2312" w:eastAsia="仿宋_GB2312" w:cs="仿宋_GB2312"/>
                <w:b w:val="0"/>
                <w:bCs w:val="0"/>
                <w:color w:val="000000"/>
                <w:sz w:val="28"/>
                <w:szCs w:val="28"/>
                <w:lang w:val="en-US" w:eastAsia="zh-CN"/>
              </w:rPr>
              <w:t>拓展城市“交流”空间，打造城市微更新项目，完善地下管线综合管理机制，推进老旧管网改造工程。加强城市噪声敏感建筑物等重点领域噪声管控，营造城市宜居环境。</w:t>
            </w:r>
            <w:r>
              <w:rPr>
                <w:rFonts w:hint="eastAsia" w:ascii="楷体_GB2312" w:hAnsi="楷体_GB2312" w:eastAsia="楷体_GB2312" w:cs="楷体_GB2312"/>
                <w:b w:val="0"/>
                <w:bCs w:val="0"/>
                <w:color w:val="000000"/>
                <w:sz w:val="28"/>
                <w:szCs w:val="28"/>
                <w:lang w:val="en-US" w:eastAsia="zh-CN"/>
              </w:rPr>
              <w:t>（责任单位：市住建局、城市管理局、发改委、自然资源局等按职责分工负责）</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155" w:leftChars="50" w:right="155" w:rightChars="50" w:firstLine="562" w:firstLineChars="200"/>
              <w:textAlignment w:val="auto"/>
              <w:outlineLvl w:val="9"/>
              <w:rPr>
                <w:rFonts w:hint="eastAsia" w:ascii="楷体_GB2312" w:hAnsi="楷体_GB2312" w:eastAsia="楷体_GB2312" w:cs="楷体_GB2312"/>
                <w:b w:val="0"/>
                <w:bCs w:val="0"/>
                <w:color w:val="000000"/>
                <w:sz w:val="28"/>
                <w:szCs w:val="28"/>
                <w:lang w:val="en-US" w:eastAsia="zh-CN"/>
              </w:rPr>
            </w:pPr>
            <w:r>
              <w:rPr>
                <w:rFonts w:hint="eastAsia" w:ascii="仿宋_GB2312" w:hAnsi="仿宋_GB2312" w:eastAsia="仿宋_GB2312" w:cs="仿宋_GB2312"/>
                <w:b/>
                <w:bCs/>
                <w:color w:val="000000"/>
                <w:sz w:val="28"/>
                <w:szCs w:val="28"/>
              </w:rPr>
              <w:t>④绿色建筑推广</w:t>
            </w:r>
            <w:r>
              <w:rPr>
                <w:rFonts w:hint="eastAsia" w:ascii="仿宋_GB2312" w:hAnsi="仿宋_GB2312" w:eastAsia="仿宋_GB2312" w:cs="仿宋_GB2312"/>
                <w:b/>
                <w:bCs/>
                <w:color w:val="000000"/>
                <w:sz w:val="28"/>
                <w:szCs w:val="28"/>
                <w:lang w:val="en-US" w:eastAsia="zh-CN"/>
              </w:rPr>
              <w:t>行动</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b w:val="0"/>
                <w:bCs w:val="0"/>
                <w:color w:val="000000"/>
                <w:sz w:val="28"/>
                <w:szCs w:val="28"/>
                <w:lang w:val="en-US" w:eastAsia="zh-CN"/>
              </w:rPr>
              <w:t>构建绿色低碳建筑体系，发展被动式超低能耗建筑，推广绿色建筑、装配式建筑、可再生能源建筑，提高全市新建绿色建材应用比例，实现新建建筑100%达到绿色建筑标准。</w:t>
            </w:r>
            <w:r>
              <w:rPr>
                <w:rFonts w:hint="eastAsia" w:ascii="楷体_GB2312" w:hAnsi="楷体_GB2312" w:eastAsia="楷体_GB2312" w:cs="楷体_GB2312"/>
                <w:b w:val="0"/>
                <w:bCs w:val="0"/>
                <w:color w:val="000000"/>
                <w:sz w:val="28"/>
                <w:szCs w:val="28"/>
                <w:lang w:val="en-US" w:eastAsia="zh-CN"/>
              </w:rPr>
              <w:t>（责任单位：市住建局、市场监管局、发改委、机关事务保障中心等按职责分工负责）</w:t>
            </w:r>
          </w:p>
          <w:p>
            <w:pPr>
              <w:keepNext w:val="0"/>
              <w:keepLines w:val="0"/>
              <w:pageBreakBefore w:val="0"/>
              <w:widowControl w:val="0"/>
              <w:suppressLineNumbers w:val="0"/>
              <w:kinsoku/>
              <w:wordWrap/>
              <w:topLinePunct w:val="0"/>
              <w:bidi w:val="0"/>
              <w:adjustRightInd w:val="0"/>
              <w:snapToGrid w:val="0"/>
              <w:spacing w:before="0" w:beforeAutospacing="0" w:after="0" w:afterAutospacing="0" w:line="590" w:lineRule="exact"/>
              <w:ind w:left="0" w:leftChars="0" w:right="0" w:rightChars="0" w:firstLine="562" w:firstLineChars="200"/>
              <w:jc w:val="both"/>
              <w:rPr>
                <w:rFonts w:hint="eastAsia" w:ascii="楷体_GB2312" w:hAnsi="楷体_GB2312" w:eastAsia="楷体_GB2312" w:cs="楷体_GB2312"/>
                <w:color w:val="000000"/>
                <w:sz w:val="28"/>
                <w:szCs w:val="28"/>
              </w:rPr>
            </w:pPr>
            <w:r>
              <w:rPr>
                <w:rFonts w:hint="eastAsia" w:ascii="微软雅黑" w:hAnsi="微软雅黑" w:eastAsia="微软雅黑" w:cs="微软雅黑"/>
                <w:b/>
                <w:color w:val="000000"/>
                <w:sz w:val="28"/>
                <w:szCs w:val="28"/>
              </w:rPr>
              <w:t>⑤</w:t>
            </w:r>
            <w:r>
              <w:rPr>
                <w:rFonts w:hint="eastAsia" w:ascii="仿宋_GB2312" w:hAnsi="仿宋_GB2312" w:eastAsia="仿宋_GB2312" w:cs="仿宋_GB2312"/>
                <w:b/>
                <w:bCs/>
                <w:color w:val="000000"/>
                <w:sz w:val="28"/>
                <w:szCs w:val="28"/>
              </w:rPr>
              <w:t>治水文化传承弘扬行动。</w:t>
            </w:r>
            <w:r>
              <w:rPr>
                <w:rFonts w:hint="eastAsia" w:ascii="仿宋_GB2312" w:hAnsi="仿宋_GB2312" w:eastAsia="仿宋_GB2312" w:cs="仿宋_GB2312"/>
                <w:color w:val="000000"/>
                <w:sz w:val="28"/>
                <w:szCs w:val="28"/>
              </w:rPr>
              <w:t>开展水工程与水文化有机融合案例推选、示范推广，凝练东圳</w:t>
            </w:r>
            <w:r>
              <w:rPr>
                <w:rFonts w:hint="eastAsia" w:ascii="仿宋_GB2312" w:hAnsi="仿宋_GB2312" w:cs="仿宋_GB2312"/>
                <w:color w:val="000000"/>
                <w:sz w:val="28"/>
                <w:szCs w:val="28"/>
                <w:lang w:eastAsia="zh-CN"/>
              </w:rPr>
              <w:t>水库</w:t>
            </w:r>
            <w:r>
              <w:rPr>
                <w:rFonts w:hint="eastAsia" w:ascii="仿宋_GB2312" w:hAnsi="仿宋_GB2312" w:eastAsia="仿宋_GB2312" w:cs="仿宋_GB2312"/>
                <w:color w:val="000000"/>
                <w:sz w:val="28"/>
                <w:szCs w:val="28"/>
              </w:rPr>
              <w:t>等人民治水特色文化，对水文化进行深度挖掘，策划推出以“水文化”为主题的旅游线路，不断丰富旅游产品供给</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创排体现闽中水利文艺精品——莆仙戏《钱四娘》。</w:t>
            </w:r>
            <w:r>
              <w:rPr>
                <w:rFonts w:hint="eastAsia" w:ascii="楷体_GB2312" w:hAnsi="楷体_GB2312" w:eastAsia="楷体_GB2312" w:cs="楷体_GB2312"/>
                <w:color w:val="000000"/>
                <w:sz w:val="28"/>
                <w:szCs w:val="28"/>
              </w:rPr>
              <w:t>（责任单位：市水利局、文旅局、住建局等按职责分工</w:t>
            </w:r>
            <w:r>
              <w:rPr>
                <w:rFonts w:hint="eastAsia" w:ascii="楷体_GB2312" w:hAnsi="楷体_GB2312" w:eastAsia="楷体_GB2312" w:cs="楷体_GB2312"/>
                <w:color w:val="000000"/>
                <w:sz w:val="28"/>
                <w:szCs w:val="28"/>
                <w:lang w:eastAsia="zh-CN"/>
              </w:rPr>
              <w:t>负责</w:t>
            </w:r>
            <w:r>
              <w:rPr>
                <w:rFonts w:hint="eastAsia" w:ascii="楷体_GB2312" w:hAnsi="楷体_GB2312" w:eastAsia="楷体_GB2312" w:cs="楷体_GB2312"/>
                <w:color w:val="000000"/>
                <w:sz w:val="28"/>
                <w:szCs w:val="28"/>
              </w:rPr>
              <w:t>）</w:t>
            </w:r>
          </w:p>
          <w:p>
            <w:pPr>
              <w:pStyle w:val="2"/>
              <w:keepNext w:val="0"/>
              <w:keepLines w:val="0"/>
              <w:suppressLineNumbers w:val="0"/>
              <w:spacing w:before="0" w:beforeAutospacing="0" w:afterAutospacing="0" w:line="590" w:lineRule="exact"/>
              <w:ind w:left="0" w:right="0"/>
              <w:rPr>
                <w:rFonts w:hint="eastAsia"/>
                <w:color w:val="000000"/>
              </w:rPr>
            </w:pPr>
            <w:r>
              <w:rPr>
                <w:rFonts w:hint="eastAsia" w:ascii="仿宋_GB2312" w:hAnsi="仿宋_GB2312" w:eastAsia="仿宋_GB2312" w:cs="仿宋_GB2312"/>
                <w:b/>
                <w:color w:val="000000"/>
                <w:sz w:val="28"/>
                <w:szCs w:val="28"/>
              </w:rPr>
              <w:t>⑥</w:t>
            </w:r>
            <w:r>
              <w:rPr>
                <w:rFonts w:hint="eastAsia" w:ascii="仿宋_GB2312" w:hAnsi="仿宋_GB2312" w:eastAsia="仿宋_GB2312" w:cs="仿宋_GB2312"/>
                <w:b/>
                <w:bCs/>
                <w:color w:val="000000"/>
                <w:sz w:val="28"/>
                <w:szCs w:val="28"/>
              </w:rPr>
              <w:t>海洋文化推广行动。</w:t>
            </w:r>
            <w:r>
              <w:rPr>
                <w:rFonts w:hint="eastAsia" w:ascii="仿宋_GB2312" w:hAnsi="仿宋_GB2312" w:eastAsia="仿宋_GB2312" w:cs="仿宋_GB2312"/>
                <w:color w:val="000000"/>
                <w:sz w:val="28"/>
                <w:szCs w:val="28"/>
              </w:rPr>
              <w:t>围绕莆田海洋文化、滨海旅游资源，不断丰富滨海旅游产品</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加快推进“海上牧场”升级和滨海旅游品质提升“双升”两大专项行动，推进北岸蒋山省级美丽渔村试点村、湄洲海上休闲养殖平台、南日海岛休闲风情园、南日岛海洋文化创意园</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后海耕海牧渔基地、国鲍荟研学中心、湄洲湾海洋科研文创基地等项目建设，推动滨海旅游、海岛旅游与海洋生态文化深度融合，构建生态海丝精品旅游带。</w:t>
            </w:r>
            <w:r>
              <w:rPr>
                <w:rFonts w:hint="eastAsia" w:ascii="楷体_GB2312" w:hAnsi="楷体_GB2312" w:eastAsia="楷体_GB2312" w:cs="楷体_GB2312"/>
                <w:b w:val="0"/>
                <w:bCs w:val="0"/>
                <w:color w:val="000000"/>
                <w:sz w:val="28"/>
                <w:szCs w:val="28"/>
              </w:rPr>
              <w:t>（责任单位：</w:t>
            </w:r>
            <w:r>
              <w:rPr>
                <w:rFonts w:hint="eastAsia" w:ascii="楷体_GB2312" w:hAnsi="楷体_GB2312" w:eastAsia="楷体_GB2312" w:cs="楷体_GB2312"/>
                <w:b w:val="0"/>
                <w:bCs w:val="0"/>
                <w:color w:val="000000"/>
                <w:sz w:val="28"/>
                <w:szCs w:val="28"/>
                <w:lang w:eastAsia="zh-CN"/>
              </w:rPr>
              <w:t>市文旅局、</w:t>
            </w:r>
            <w:r>
              <w:rPr>
                <w:rFonts w:hint="eastAsia" w:ascii="楷体_GB2312" w:hAnsi="楷体_GB2312" w:eastAsia="楷体_GB2312" w:cs="楷体_GB2312"/>
                <w:b w:val="0"/>
                <w:bCs w:val="0"/>
                <w:color w:val="000000"/>
                <w:sz w:val="28"/>
                <w:szCs w:val="28"/>
                <w:lang w:val="en-US" w:eastAsia="zh-CN"/>
              </w:rPr>
              <w:t>自然资源局</w:t>
            </w:r>
            <w:r>
              <w:rPr>
                <w:rFonts w:hint="eastAsia" w:ascii="楷体_GB2312" w:hAnsi="楷体_GB2312" w:eastAsia="楷体_GB2312" w:cs="楷体_GB2312"/>
                <w:b w:val="0"/>
                <w:bCs w:val="0"/>
                <w:color w:val="000000"/>
                <w:sz w:val="28"/>
                <w:szCs w:val="28"/>
              </w:rPr>
              <w:t>等按职责分工负责）</w:t>
            </w:r>
          </w:p>
          <w:p>
            <w:pPr>
              <w:keepNext w:val="0"/>
              <w:keepLines w:val="0"/>
              <w:pageBreakBefore w:val="0"/>
              <w:widowControl w:val="0"/>
              <w:suppressLineNumbers w:val="0"/>
              <w:kinsoku/>
              <w:wordWrap/>
              <w:topLinePunct w:val="0"/>
              <w:bidi w:val="0"/>
              <w:adjustRightInd w:val="0"/>
              <w:snapToGrid w:val="0"/>
              <w:spacing w:before="0" w:beforeAutospacing="0" w:after="0" w:afterAutospacing="0" w:line="590" w:lineRule="exact"/>
              <w:ind w:left="0" w:leftChars="0" w:right="0" w:rightChars="0" w:firstLine="562"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⑦</w:t>
            </w:r>
            <w:r>
              <w:rPr>
                <w:rFonts w:hint="eastAsia" w:ascii="仿宋_GB2312" w:hAnsi="仿宋_GB2312" w:eastAsia="仿宋_GB2312" w:cs="仿宋_GB2312"/>
                <w:b/>
                <w:color w:val="000000"/>
                <w:sz w:val="28"/>
                <w:szCs w:val="28"/>
                <w:lang w:val="en-US" w:eastAsia="zh-CN"/>
              </w:rPr>
              <w:t>农村供水保障行动</w:t>
            </w:r>
            <w:r>
              <w:rPr>
                <w:rFonts w:hint="eastAsia" w:ascii="仿宋_GB2312" w:hAnsi="仿宋_GB2312" w:eastAsia="仿宋_GB2312" w:cs="仿宋_GB2312"/>
                <w:b/>
                <w:color w:val="000000"/>
                <w:sz w:val="28"/>
                <w:szCs w:val="28"/>
              </w:rPr>
              <w:t>。</w:t>
            </w:r>
            <w:r>
              <w:rPr>
                <w:rFonts w:hint="eastAsia" w:ascii="仿宋_GB2312" w:hAnsi="仿宋_GB2312" w:eastAsia="仿宋_GB2312" w:cs="仿宋_GB2312"/>
                <w:color w:val="000000"/>
                <w:sz w:val="28"/>
                <w:szCs w:val="28"/>
              </w:rPr>
              <w:t>加强农村饮用水水源地保护。强化水源水质监控，整治水源地生态环境问题，推进城乡供水一体化工程建设，补齐农村供水工程短板，健全农村供水保障体系。</w:t>
            </w:r>
            <w:r>
              <w:rPr>
                <w:rFonts w:hint="eastAsia" w:ascii="楷体_GB2312" w:hAnsi="楷体_GB2312" w:eastAsia="楷体_GB2312" w:cs="楷体_GB2312"/>
                <w:color w:val="000000"/>
                <w:sz w:val="28"/>
                <w:szCs w:val="28"/>
              </w:rPr>
              <w:t>（责任单位：市水利局、农业农村局、生态环境局等按职责分工负责）</w:t>
            </w:r>
          </w:p>
          <w:p>
            <w:pPr>
              <w:keepNext w:val="0"/>
              <w:keepLines w:val="0"/>
              <w:pageBreakBefore w:val="0"/>
              <w:widowControl w:val="0"/>
              <w:suppressLineNumbers w:val="0"/>
              <w:kinsoku/>
              <w:wordWrap/>
              <w:topLinePunct w:val="0"/>
              <w:bidi w:val="0"/>
              <w:adjustRightInd w:val="0"/>
              <w:snapToGrid w:val="0"/>
              <w:spacing w:before="0" w:beforeAutospacing="0" w:after="0" w:afterAutospacing="0" w:line="590" w:lineRule="exact"/>
              <w:ind w:left="0" w:leftChars="0" w:right="0" w:rightChars="0" w:firstLine="562"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⑧</w:t>
            </w:r>
            <w:r>
              <w:rPr>
                <w:rFonts w:hint="eastAsia" w:ascii="仿宋_GB2312" w:hAnsi="仿宋_GB2312" w:eastAsia="仿宋_GB2312" w:cs="仿宋_GB2312"/>
                <w:b/>
                <w:color w:val="000000"/>
                <w:sz w:val="28"/>
                <w:szCs w:val="28"/>
              </w:rPr>
              <w:t>农村</w:t>
            </w:r>
            <w:r>
              <w:rPr>
                <w:rFonts w:hint="eastAsia" w:ascii="仿宋_GB2312" w:hAnsi="仿宋_GB2312" w:eastAsia="仿宋_GB2312" w:cs="仿宋_GB2312"/>
                <w:b/>
                <w:bCs/>
                <w:color w:val="000000"/>
                <w:sz w:val="28"/>
                <w:szCs w:val="28"/>
              </w:rPr>
              <w:t>生活污水治理</w:t>
            </w:r>
            <w:r>
              <w:rPr>
                <w:rFonts w:hint="eastAsia" w:ascii="仿宋_GB2312" w:hAnsi="仿宋_GB2312" w:eastAsia="仿宋_GB2312" w:cs="仿宋_GB2312"/>
                <w:b/>
                <w:color w:val="000000"/>
                <w:sz w:val="28"/>
                <w:szCs w:val="28"/>
                <w:lang w:val="en-US" w:eastAsia="zh-CN"/>
              </w:rPr>
              <w:t>行动</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color w:val="000000"/>
                <w:sz w:val="28"/>
                <w:szCs w:val="28"/>
              </w:rPr>
              <w:t>健全完善农村生活污水治理长效机制，实施提升治理工程，逐步实现全面有效治理。建立完善农村小微水体治理长效机制，优先整治面积较大、群众反映强烈的水体，稳步消除农村黑臭水体</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持续开展农村人居环境整治提升工作。</w:t>
            </w:r>
            <w:r>
              <w:rPr>
                <w:rFonts w:hint="eastAsia" w:ascii="楷体_GB2312" w:hAnsi="楷体_GB2312" w:eastAsia="楷体_GB2312" w:cs="楷体_GB2312"/>
                <w:color w:val="000000"/>
                <w:sz w:val="28"/>
                <w:szCs w:val="28"/>
              </w:rPr>
              <w:t>（责任单位：市生态环境局、农业农村局等按职责分工负责）</w:t>
            </w:r>
          </w:p>
          <w:p>
            <w:pPr>
              <w:keepNext w:val="0"/>
              <w:keepLines w:val="0"/>
              <w:pageBreakBefore w:val="0"/>
              <w:widowControl w:val="0"/>
              <w:suppressLineNumbers w:val="0"/>
              <w:kinsoku/>
              <w:wordWrap/>
              <w:topLinePunct w:val="0"/>
              <w:bidi w:val="0"/>
              <w:adjustRightInd w:val="0"/>
              <w:snapToGrid w:val="0"/>
              <w:spacing w:before="0" w:beforeAutospacing="0" w:after="0" w:afterAutospacing="0" w:line="590" w:lineRule="exact"/>
              <w:ind w:left="0" w:leftChars="0" w:right="0" w:rightChars="0" w:firstLine="562"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⑨农村生活垃圾处理</w:t>
            </w:r>
            <w:r>
              <w:rPr>
                <w:rFonts w:hint="eastAsia" w:ascii="仿宋_GB2312" w:hAnsi="仿宋_GB2312" w:eastAsia="仿宋_GB2312" w:cs="仿宋_GB2312"/>
                <w:b/>
                <w:color w:val="000000"/>
                <w:sz w:val="28"/>
                <w:szCs w:val="28"/>
                <w:lang w:val="en-US" w:eastAsia="zh-CN"/>
              </w:rPr>
              <w:t>行动</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color w:val="000000"/>
                <w:sz w:val="28"/>
                <w:szCs w:val="28"/>
              </w:rPr>
              <w:t>持续严格按照“</w:t>
            </w:r>
            <w:r>
              <w:rPr>
                <w:rFonts w:hint="eastAsia" w:ascii="仿宋_GB2312" w:hAnsi="仿宋_GB2312" w:eastAsia="仿宋_GB2312" w:cs="仿宋_GB2312"/>
                <w:color w:val="000000"/>
                <w:sz w:val="28"/>
                <w:szCs w:val="28"/>
                <w:lang w:val="en-US" w:eastAsia="zh-CN"/>
              </w:rPr>
              <w:t>五</w:t>
            </w:r>
            <w:r>
              <w:rPr>
                <w:rFonts w:hint="eastAsia" w:ascii="仿宋_GB2312" w:hAnsi="仿宋_GB2312" w:eastAsia="仿宋_GB2312" w:cs="仿宋_GB2312"/>
                <w:color w:val="000000"/>
                <w:sz w:val="28"/>
                <w:szCs w:val="28"/>
              </w:rPr>
              <w:t>有标准”即有完备的设施设备、有成熟的治理技术、有稳定的保洁队伍、有完善的监管制度、有长效的资金保障，落实村庄生活垃圾治理常态机制，实现农村生活垃圾日产日清并统一进行焚烧无害化处理，无害化处理率达100%。逐年新增一定数量的乡镇（街道）全镇域落实农村生活垃圾分类机制，按照“六有机制”即有县乡工作机制、有宣传发动、有有机垃圾处理设备或设施、有资金保障、有减量成效、有召开现场会总结推广</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持续开展农村人居环境整治提升工作。</w:t>
            </w:r>
            <w:r>
              <w:rPr>
                <w:rFonts w:hint="eastAsia" w:ascii="楷体_GB2312" w:hAnsi="楷体_GB2312" w:eastAsia="楷体_GB2312" w:cs="楷体_GB2312"/>
                <w:color w:val="000000"/>
                <w:sz w:val="28"/>
                <w:szCs w:val="28"/>
              </w:rPr>
              <w:t>（责任单位：市城市管理局、农业农村局、生态环境局等按职责分工负责）</w:t>
            </w:r>
          </w:p>
          <w:p>
            <w:pPr>
              <w:keepNext w:val="0"/>
              <w:keepLines w:val="0"/>
              <w:pageBreakBefore w:val="0"/>
              <w:widowControl w:val="0"/>
              <w:suppressLineNumbers w:val="0"/>
              <w:kinsoku/>
              <w:wordWrap/>
              <w:topLinePunct w:val="0"/>
              <w:bidi w:val="0"/>
              <w:adjustRightInd w:val="0"/>
              <w:snapToGrid w:val="0"/>
              <w:spacing w:before="0" w:beforeAutospacing="0" w:after="0" w:afterAutospacing="0" w:line="590" w:lineRule="exact"/>
              <w:ind w:left="0" w:leftChars="0" w:right="0" w:rightChars="0" w:firstLine="562"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⑩耕地保护安全利用</w:t>
            </w:r>
            <w:r>
              <w:rPr>
                <w:rFonts w:hint="eastAsia" w:ascii="仿宋_GB2312" w:hAnsi="仿宋_GB2312" w:eastAsia="仿宋_GB2312" w:cs="仿宋_GB2312"/>
                <w:b/>
                <w:color w:val="000000"/>
                <w:sz w:val="28"/>
                <w:szCs w:val="28"/>
                <w:lang w:val="en-US" w:eastAsia="zh-CN"/>
              </w:rPr>
              <w:t>行动</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color w:val="000000"/>
                <w:sz w:val="28"/>
                <w:szCs w:val="28"/>
              </w:rPr>
              <w:t>立足守数量、提质量、保生态，严守耕地保护红线，持续推进受污染耕地安全利用，力争2035年受污染耕地安全利用率达95%以上。严守耕地保护红线，确保全市耕地保有量不少于69.34万亩</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确保农业可持续发展。</w:t>
            </w:r>
            <w:r>
              <w:rPr>
                <w:rFonts w:hint="eastAsia" w:ascii="楷体_GB2312" w:hAnsi="楷体_GB2312" w:eastAsia="楷体_GB2312" w:cs="楷体_GB2312"/>
                <w:color w:val="000000"/>
                <w:sz w:val="28"/>
                <w:szCs w:val="28"/>
              </w:rPr>
              <w:t>（责任单位：市农业农村局、自然资源局、生态环境局等按职责分工负责）</w:t>
            </w:r>
          </w:p>
          <w:p>
            <w:pPr>
              <w:keepNext w:val="0"/>
              <w:keepLines w:val="0"/>
              <w:pageBreakBefore w:val="0"/>
              <w:widowControl w:val="0"/>
              <w:suppressLineNumbers w:val="0"/>
              <w:kinsoku/>
              <w:wordWrap/>
              <w:topLinePunct w:val="0"/>
              <w:bidi w:val="0"/>
              <w:adjustRightInd w:val="0"/>
              <w:snapToGrid w:val="0"/>
              <w:spacing w:before="0" w:beforeAutospacing="0" w:after="0" w:afterAutospacing="0" w:line="590" w:lineRule="exact"/>
              <w:ind w:left="0" w:leftChars="0" w:right="0" w:rightChars="0" w:firstLine="562" w:firstLineChars="200"/>
              <w:jc w:val="both"/>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⑪传统村落保护利用</w:t>
            </w:r>
            <w:r>
              <w:rPr>
                <w:rFonts w:hint="eastAsia" w:ascii="仿宋_GB2312" w:hAnsi="仿宋_GB2312" w:eastAsia="仿宋_GB2312" w:cs="仿宋_GB2312"/>
                <w:b/>
                <w:color w:val="000000"/>
                <w:sz w:val="28"/>
                <w:szCs w:val="28"/>
                <w:lang w:val="en-US" w:eastAsia="zh-CN"/>
              </w:rPr>
              <w:t>行动</w:t>
            </w:r>
            <w:r>
              <w:rPr>
                <w:rFonts w:hint="eastAsia" w:ascii="仿宋_GB2312" w:hAnsi="仿宋_GB2312" w:eastAsia="仿宋_GB2312" w:cs="仿宋_GB2312"/>
                <w:b/>
                <w:bCs/>
                <w:color w:val="000000"/>
                <w:sz w:val="28"/>
                <w:szCs w:val="28"/>
              </w:rPr>
              <w:t>。</w:t>
            </w:r>
            <w:r>
              <w:rPr>
                <w:rFonts w:hint="eastAsia" w:ascii="仿宋_GB2312" w:hAnsi="仿宋_GB2312" w:eastAsia="仿宋_GB2312" w:cs="仿宋_GB2312"/>
                <w:color w:val="000000"/>
                <w:sz w:val="28"/>
                <w:szCs w:val="28"/>
              </w:rPr>
              <w:t>传统村落保护利用行动。加大传统村落保护利用力度，实施传统村落历史建筑和传统风貌建筑保护修缮工程，保留乡村特色风貌，留住田园乡愁，保护好、传承好和利用好历史文脉。力争到2027年新增一批传统村落，每年整治提升1个传统村落。</w:t>
            </w:r>
            <w:r>
              <w:rPr>
                <w:rFonts w:hint="eastAsia" w:ascii="楷体_GB2312" w:hAnsi="楷体_GB2312" w:eastAsia="楷体_GB2312" w:cs="楷体_GB2312"/>
                <w:color w:val="000000"/>
                <w:sz w:val="28"/>
                <w:szCs w:val="28"/>
              </w:rPr>
              <w:t>（责任单位：市住建局、文旅局等按职责分工负责）</w:t>
            </w:r>
          </w:p>
          <w:p>
            <w:pPr>
              <w:pStyle w:val="2"/>
              <w:keepNext w:val="0"/>
              <w:keepLines w:val="0"/>
              <w:suppressLineNumbers w:val="0"/>
              <w:spacing w:before="0" w:beforeAutospacing="0" w:afterAutospacing="0" w:line="590" w:lineRule="exact"/>
              <w:ind w:left="0" w:right="0"/>
              <w:rPr>
                <w:rFonts w:hint="eastAsia"/>
                <w:color w:val="000000"/>
              </w:rPr>
            </w:pPr>
            <w:r>
              <w:rPr>
                <w:rFonts w:hint="eastAsia" w:ascii="仿宋_GB2312" w:hAnsi="仿宋_GB2312" w:eastAsia="仿宋_GB2312" w:cs="仿宋_GB2312"/>
                <w:b/>
                <w:bCs/>
                <w:color w:val="000000"/>
                <w:sz w:val="28"/>
                <w:szCs w:val="28"/>
              </w:rPr>
              <w:t>⑫</w:t>
            </w:r>
            <w:r>
              <w:rPr>
                <w:rFonts w:hint="eastAsia" w:ascii="仿宋_GB2312" w:hAnsi="仿宋_GB2312" w:eastAsia="仿宋_GB2312" w:cs="仿宋_GB2312"/>
                <w:b/>
                <w:bCs/>
                <w:color w:val="000000"/>
                <w:spacing w:val="-6"/>
                <w:sz w:val="28"/>
                <w:szCs w:val="28"/>
              </w:rPr>
              <w:t>生态惠民富民利民</w:t>
            </w:r>
            <w:r>
              <w:rPr>
                <w:rFonts w:hint="eastAsia" w:ascii="仿宋_GB2312" w:hAnsi="仿宋_GB2312" w:eastAsia="仿宋_GB2312" w:cs="仿宋_GB2312"/>
                <w:b/>
                <w:color w:val="000000"/>
                <w:spacing w:val="-6"/>
                <w:sz w:val="28"/>
                <w:szCs w:val="28"/>
                <w:lang w:val="en-US" w:eastAsia="zh-CN"/>
              </w:rPr>
              <w:t>行动</w:t>
            </w:r>
            <w:r>
              <w:rPr>
                <w:rFonts w:hint="eastAsia" w:ascii="仿宋_GB2312" w:hAnsi="仿宋_GB2312" w:eastAsia="仿宋_GB2312" w:cs="仿宋_GB2312"/>
                <w:b/>
                <w:bCs/>
                <w:color w:val="000000"/>
                <w:spacing w:val="-6"/>
                <w:sz w:val="28"/>
                <w:szCs w:val="28"/>
              </w:rPr>
              <w:t>。</w:t>
            </w:r>
            <w:r>
              <w:rPr>
                <w:rFonts w:hint="eastAsia" w:ascii="仿宋_GB2312" w:hAnsi="仿宋_GB2312" w:eastAsia="仿宋_GB2312" w:cs="仿宋_GB2312"/>
                <w:color w:val="000000"/>
                <w:spacing w:val="-6"/>
                <w:sz w:val="28"/>
                <w:szCs w:val="28"/>
              </w:rPr>
              <w:t>发展壮大林下经济，鼓励开展林下示范项目建设，扶持仙游做强省级林下经济重点县，创建一批示范基地。鼓励支持</w:t>
            </w:r>
            <w:r>
              <w:rPr>
                <w:rFonts w:hint="eastAsia" w:ascii="仿宋_GB2312" w:hAnsi="仿宋_GB2312" w:eastAsia="仿宋_GB2312" w:cs="仿宋_GB2312"/>
                <w:color w:val="000000"/>
                <w:spacing w:val="-6"/>
                <w:sz w:val="28"/>
                <w:szCs w:val="28"/>
                <w:lang w:val="en-US" w:eastAsia="zh-CN"/>
              </w:rPr>
              <w:t>农业生产经营主体申报绿色、有机农产品等认证。</w:t>
            </w:r>
            <w:r>
              <w:rPr>
                <w:rFonts w:hint="eastAsia" w:ascii="仿宋_GB2312" w:hAnsi="仿宋_GB2312" w:eastAsia="仿宋_GB2312" w:cs="仿宋_GB2312"/>
                <w:color w:val="000000"/>
                <w:spacing w:val="-6"/>
                <w:sz w:val="28"/>
                <w:szCs w:val="28"/>
              </w:rPr>
              <w:t>支持具有传统文化、自然风光的乡村大力开发乡村旅游，积极创建金牌旅游村，丰富乡村旅游产品，吸引游客前来消费。自202</w:t>
            </w:r>
            <w:r>
              <w:rPr>
                <w:rFonts w:hint="eastAsia" w:ascii="仿宋_GB2312" w:hAnsi="仿宋_GB2312" w:eastAsia="仿宋_GB2312" w:cs="仿宋_GB2312"/>
                <w:color w:val="000000"/>
                <w:spacing w:val="-6"/>
                <w:sz w:val="28"/>
                <w:szCs w:val="28"/>
                <w:lang w:val="en-US" w:eastAsia="zh-CN"/>
              </w:rPr>
              <w:t>5</w:t>
            </w:r>
            <w:r>
              <w:rPr>
                <w:rFonts w:hint="eastAsia" w:ascii="仿宋_GB2312" w:hAnsi="仿宋_GB2312" w:eastAsia="仿宋_GB2312" w:cs="仿宋_GB2312"/>
                <w:color w:val="000000"/>
                <w:spacing w:val="-6"/>
                <w:sz w:val="28"/>
                <w:szCs w:val="28"/>
              </w:rPr>
              <w:t>年起到2027年，新增绿色、有机农产品认证数量50个；到2035年，累计认证数量200个以上。</w:t>
            </w:r>
            <w:r>
              <w:rPr>
                <w:rFonts w:hint="eastAsia" w:ascii="楷体_GB2312" w:hAnsi="楷体_GB2312" w:eastAsia="楷体_GB2312" w:cs="楷体_GB2312"/>
                <w:color w:val="000000"/>
                <w:spacing w:val="-6"/>
                <w:sz w:val="28"/>
                <w:szCs w:val="28"/>
              </w:rPr>
              <w:t>（责任单位：市农业农村局、文旅局、海洋渔业局、林业局等按职责分工负责）</w:t>
            </w:r>
          </w:p>
        </w:tc>
      </w:tr>
    </w:tbl>
    <w:p>
      <w:pPr>
        <w:spacing w:line="580" w:lineRule="exact"/>
        <w:ind w:firstLine="640" w:firstLineChars="200"/>
        <w:outlineLvl w:val="0"/>
        <w:rPr>
          <w:rStyle w:val="13"/>
          <w:rFonts w:hint="eastAsia" w:ascii="黑体" w:hAnsi="黑体" w:eastAsia="黑体" w:cs="黑体"/>
          <w:b w:val="0"/>
          <w:bCs/>
          <w:i w:val="0"/>
          <w:iCs w:val="0"/>
          <w:caps w:val="0"/>
          <w:color w:val="000000"/>
          <w:spacing w:val="0"/>
          <w:kern w:val="0"/>
          <w:sz w:val="32"/>
          <w:szCs w:val="32"/>
          <w:shd w:val="clear" w:color="auto" w:fill="FFFFFF"/>
          <w:lang w:val="en-US" w:eastAsia="zh-CN" w:bidi="ar"/>
        </w:rPr>
      </w:pPr>
      <w:bookmarkStart w:id="20" w:name="_Toc13487"/>
      <w:r>
        <w:rPr>
          <w:rStyle w:val="13"/>
          <w:rFonts w:hint="eastAsia" w:ascii="黑体" w:hAnsi="黑体" w:eastAsia="黑体" w:cs="黑体"/>
          <w:b w:val="0"/>
          <w:bCs/>
          <w:i w:val="0"/>
          <w:iCs w:val="0"/>
          <w:caps w:val="0"/>
          <w:color w:val="000000"/>
          <w:spacing w:val="0"/>
          <w:kern w:val="0"/>
          <w:sz w:val="32"/>
          <w:szCs w:val="32"/>
          <w:shd w:val="clear" w:color="auto" w:fill="FFFFFF"/>
          <w:lang w:val="en-US" w:eastAsia="zh-CN" w:bidi="ar"/>
        </w:rPr>
        <w:t>五、组织保障</w:t>
      </w:r>
      <w:bookmarkEnd w:id="20"/>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outlineLvl w:val="1"/>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bookmarkStart w:id="21" w:name="_Toc9965"/>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（十六）加强组织领导</w:t>
      </w:r>
      <w:bookmarkEnd w:id="21"/>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坚持正确政治方向，把党的领导贯彻到“山水诗画  生态韵城”建设全过程各方面。市直各部门、各县（区）政府（管委会）要把“山水诗画  生态韵城”建设作为重大任务来抓，落实“党政同责、一岗双责”，及时研究解决重大问题。加强组织领导、统筹推进、督导落实等工作。</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outlineLvl w:val="1"/>
        <w:rPr>
          <w:rFonts w:hint="default"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bookmarkStart w:id="22" w:name="_Toc31199"/>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（十七）</w:t>
      </w:r>
      <w:r>
        <w:rPr>
          <w:rFonts w:hint="default"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完善推进机制</w:t>
      </w:r>
      <w:bookmarkEnd w:id="22"/>
    </w:p>
    <w:p>
      <w:pPr>
        <w:pStyle w:val="2"/>
        <w:spacing w:line="580" w:lineRule="exact"/>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市</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生态环境</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局</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会同</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市</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发展改革委等有关部门制定分领域行动方案，加快形成实施体系和推进落实机制。各有关部门要积极发挥职能作用，强化协作配合，加强对“山水诗画  生态韵城”建设重大工程的财政、金融、价格等政策支持。市直各部门、各县（区）政府（管委会）年度工作情况，书面送</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市</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生态环境</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局</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，由</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其</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汇总后向</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市</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委、</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市</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政府报告。</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outlineLvl w:val="1"/>
        <w:rPr>
          <w:rFonts w:hint="default"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pPr>
      <w:bookmarkStart w:id="23" w:name="_Toc13302"/>
      <w:r>
        <w:rPr>
          <w:rFonts w:hint="eastAsia"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（十八）</w:t>
      </w:r>
      <w:r>
        <w:rPr>
          <w:rFonts w:hint="default" w:ascii="楷体_GB2312" w:hAnsi="楷体_GB2312" w:eastAsia="楷体_GB2312" w:cs="楷体_GB2312"/>
          <w:b w:val="0"/>
          <w:bCs w:val="0"/>
          <w:i w:val="0"/>
          <w:iCs w:val="0"/>
          <w:caps w:val="0"/>
          <w:color w:val="000000"/>
          <w:spacing w:val="0"/>
          <w:kern w:val="0"/>
          <w:sz w:val="32"/>
          <w:szCs w:val="32"/>
          <w:shd w:val="clear" w:color="auto" w:fill="FFFFFF"/>
          <w:lang w:val="en-US" w:eastAsia="zh-CN" w:bidi="ar"/>
        </w:rPr>
        <w:t>开展成效考核</w:t>
      </w:r>
      <w:bookmarkEnd w:id="23"/>
    </w:p>
    <w:p>
      <w:pPr>
        <w:pStyle w:val="2"/>
        <w:spacing w:line="580" w:lineRule="exact"/>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开展</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评估</w:t>
      </w: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t>评价，实施建设进程评估。按规定将污染防治攻坚战成效考核过渡到建设成效考核，考核结果作为各级领导班子和有关领导干部综合考核评价、奖惩任免的重要参考。</w:t>
      </w:r>
    </w:p>
    <w:p>
      <w:pPr>
        <w:jc w:val="center"/>
        <w:rPr>
          <w:rFonts w:hint="eastAsia" w:ascii="方正小标宋简体" w:hAnsi="方正小标宋简体" w:eastAsia="方正小标宋简体" w:cs="方正小标宋简体"/>
          <w:b w:val="0"/>
          <w:bCs w:val="0"/>
          <w:i w:val="0"/>
          <w:iCs w:val="0"/>
          <w:caps w:val="0"/>
          <w:color w:val="000000"/>
          <w:spacing w:val="0"/>
          <w:kern w:val="0"/>
          <w:sz w:val="40"/>
          <w:szCs w:val="40"/>
          <w:shd w:val="clear" w:color="auto" w:fill="FFFFFF"/>
          <w:lang w:val="en-US" w:eastAsia="zh-CN" w:bidi="ar"/>
        </w:rPr>
      </w:pPr>
      <w:r>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br w:type="page"/>
      </w:r>
      <w:bookmarkStart w:id="24" w:name="_Toc7447"/>
      <w:r>
        <w:rPr>
          <w:rFonts w:hint="eastAsia" w:ascii="方正小标宋简体" w:hAnsi="方正小标宋简体" w:eastAsia="方正小标宋简体" w:cs="方正小标宋简体"/>
          <w:b w:val="0"/>
          <w:bCs w:val="0"/>
          <w:i w:val="0"/>
          <w:iCs w:val="0"/>
          <w:caps w:val="0"/>
          <w:color w:val="000000"/>
          <w:spacing w:val="0"/>
          <w:kern w:val="0"/>
          <w:sz w:val="40"/>
          <w:szCs w:val="40"/>
          <w:shd w:val="clear" w:color="auto" w:fill="FFFFFF"/>
          <w:lang w:val="en-US" w:eastAsia="zh-CN" w:bidi="ar"/>
        </w:rPr>
        <w:t>主要指标</w:t>
      </w:r>
      <w:bookmarkEnd w:id="24"/>
    </w:p>
    <w:tbl>
      <w:tblPr>
        <w:tblStyle w:val="9"/>
        <w:tblW w:w="8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657"/>
        <w:gridCol w:w="1694"/>
        <w:gridCol w:w="942"/>
        <w:gridCol w:w="1069"/>
        <w:gridCol w:w="1225"/>
        <w:gridCol w:w="774"/>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3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napToGrid w:val="0"/>
              <w:spacing w:before="0" w:beforeAutospacing="0" w:after="0" w:afterAutospacing="0" w:line="220" w:lineRule="exact"/>
              <w:ind w:left="0" w:right="0"/>
              <w:jc w:val="center"/>
              <w:rPr>
                <w:rFonts w:hint="eastAsia" w:ascii="仿宋_GB2312" w:hAnsi="仿宋_GB2312" w:eastAsia="仿宋_GB2312" w:cs="仿宋_GB2312"/>
                <w:b/>
                <w:bCs/>
                <w:color w:val="000000"/>
                <w:sz w:val="22"/>
                <w:szCs w:val="31"/>
                <w:highlight w:val="none"/>
                <w:lang w:eastAsia="zh-CN"/>
              </w:rPr>
            </w:pPr>
            <w:r>
              <w:rPr>
                <w:rFonts w:hint="eastAsia" w:ascii="仿宋_GB2312" w:hAnsi="仿宋_GB2312" w:eastAsia="仿宋_GB2312" w:cs="仿宋_GB2312"/>
                <w:b/>
                <w:bCs/>
                <w:color w:val="000000"/>
                <w:sz w:val="22"/>
                <w:szCs w:val="31"/>
                <w:highlight w:val="none"/>
              </w:rPr>
              <w:t>领域</w:t>
            </w: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napToGrid w:val="0"/>
              <w:spacing w:before="0" w:beforeAutospacing="0" w:after="0" w:afterAutospacing="0" w:line="220" w:lineRule="exact"/>
              <w:ind w:left="0" w:right="0"/>
              <w:jc w:val="center"/>
              <w:rPr>
                <w:rFonts w:hint="eastAsia" w:ascii="仿宋_GB2312" w:hAnsi="仿宋_GB2312" w:eastAsia="仿宋_GB2312" w:cs="仿宋_GB2312"/>
                <w:b/>
                <w:bCs/>
                <w:color w:val="000000"/>
                <w:sz w:val="22"/>
                <w:szCs w:val="31"/>
                <w:highlight w:val="none"/>
                <w:lang w:eastAsia="zh-CN"/>
              </w:rPr>
            </w:pPr>
            <w:r>
              <w:rPr>
                <w:rFonts w:hint="eastAsia" w:ascii="仿宋_GB2312" w:hAnsi="仿宋_GB2312" w:eastAsia="仿宋_GB2312" w:cs="仿宋_GB2312"/>
                <w:b/>
                <w:bCs/>
                <w:color w:val="000000"/>
                <w:sz w:val="22"/>
                <w:szCs w:val="31"/>
                <w:highlight w:val="none"/>
              </w:rPr>
              <w:t>序号</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napToGrid w:val="0"/>
              <w:spacing w:before="0" w:beforeAutospacing="0" w:after="0" w:afterAutospacing="0" w:line="220" w:lineRule="exact"/>
              <w:ind w:left="0" w:right="0"/>
              <w:jc w:val="center"/>
              <w:rPr>
                <w:rFonts w:hint="eastAsia" w:ascii="仿宋_GB2312" w:hAnsi="仿宋_GB2312" w:eastAsia="仿宋_GB2312" w:cs="仿宋_GB2312"/>
                <w:b/>
                <w:bCs/>
                <w:color w:val="000000"/>
                <w:sz w:val="32"/>
                <w:szCs w:val="32"/>
                <w:highlight w:val="none"/>
                <w:vertAlign w:val="baseline"/>
                <w:lang w:eastAsia="zh-CN"/>
              </w:rPr>
            </w:pPr>
            <w:r>
              <w:rPr>
                <w:rFonts w:hint="eastAsia" w:ascii="仿宋_GB2312" w:hAnsi="仿宋_GB2312" w:eastAsia="仿宋_GB2312" w:cs="仿宋_GB2312"/>
                <w:b/>
                <w:bCs/>
                <w:color w:val="000000"/>
                <w:sz w:val="22"/>
                <w:szCs w:val="31"/>
                <w:highlight w:val="none"/>
              </w:rPr>
              <w:t>指标名称</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napToGrid w:val="0"/>
              <w:spacing w:before="0" w:beforeAutospacing="0" w:after="0" w:afterAutospacing="0" w:line="220" w:lineRule="exact"/>
              <w:ind w:left="0" w:right="0"/>
              <w:jc w:val="center"/>
              <w:rPr>
                <w:rFonts w:hint="eastAsia" w:ascii="仿宋_GB2312" w:hAnsi="仿宋_GB2312" w:eastAsia="仿宋_GB2312" w:cs="仿宋_GB2312"/>
                <w:b/>
                <w:bCs/>
                <w:color w:val="000000"/>
                <w:sz w:val="32"/>
                <w:szCs w:val="32"/>
                <w:highlight w:val="none"/>
                <w:vertAlign w:val="baseline"/>
                <w:lang w:eastAsia="zh-CN"/>
              </w:rPr>
            </w:pPr>
            <w:r>
              <w:rPr>
                <w:rFonts w:hint="eastAsia" w:ascii="仿宋_GB2312" w:hAnsi="仿宋_GB2312" w:eastAsia="仿宋_GB2312" w:cs="仿宋_GB2312"/>
                <w:b/>
                <w:bCs/>
                <w:color w:val="000000"/>
                <w:sz w:val="22"/>
                <w:szCs w:val="31"/>
                <w:highlight w:val="none"/>
              </w:rPr>
              <w:t>202</w:t>
            </w:r>
            <w:r>
              <w:rPr>
                <w:rFonts w:hint="eastAsia" w:ascii="仿宋_GB2312" w:hAnsi="仿宋_GB2312" w:eastAsia="仿宋_GB2312" w:cs="仿宋_GB2312"/>
                <w:b/>
                <w:bCs/>
                <w:color w:val="000000"/>
                <w:sz w:val="22"/>
                <w:szCs w:val="31"/>
                <w:highlight w:val="none"/>
                <w:lang w:val="en-US" w:eastAsia="zh-CN"/>
              </w:rPr>
              <w:t>7</w:t>
            </w:r>
            <w:r>
              <w:rPr>
                <w:rFonts w:hint="eastAsia" w:ascii="仿宋_GB2312" w:hAnsi="仿宋_GB2312" w:eastAsia="仿宋_GB2312" w:cs="仿宋_GB2312"/>
                <w:b/>
                <w:bCs/>
                <w:color w:val="000000"/>
                <w:sz w:val="22"/>
                <w:szCs w:val="31"/>
                <w:highlight w:val="none"/>
              </w:rPr>
              <w:t>年</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napToGrid w:val="0"/>
              <w:spacing w:before="0" w:beforeAutospacing="0" w:after="0" w:afterAutospacing="0" w:line="220" w:lineRule="exact"/>
              <w:ind w:left="0" w:right="0"/>
              <w:jc w:val="center"/>
              <w:rPr>
                <w:rFonts w:hint="eastAsia" w:ascii="仿宋_GB2312" w:hAnsi="仿宋_GB2312" w:eastAsia="仿宋_GB2312" w:cs="仿宋_GB2312"/>
                <w:b/>
                <w:bCs/>
                <w:color w:val="000000"/>
                <w:sz w:val="32"/>
                <w:szCs w:val="32"/>
                <w:highlight w:val="none"/>
                <w:vertAlign w:val="baseline"/>
                <w:lang w:eastAsia="zh-CN"/>
              </w:rPr>
            </w:pPr>
            <w:r>
              <w:rPr>
                <w:rFonts w:hint="eastAsia" w:ascii="仿宋_GB2312" w:hAnsi="仿宋_GB2312" w:eastAsia="仿宋_GB2312" w:cs="仿宋_GB2312"/>
                <w:b/>
                <w:bCs/>
                <w:color w:val="000000"/>
                <w:sz w:val="22"/>
                <w:szCs w:val="31"/>
                <w:highlight w:val="none"/>
              </w:rPr>
              <w:t>2030年</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napToGrid w:val="0"/>
              <w:spacing w:before="0" w:beforeAutospacing="0" w:after="0" w:afterAutospacing="0" w:line="220" w:lineRule="exact"/>
              <w:ind w:left="0" w:right="0"/>
              <w:jc w:val="center"/>
              <w:rPr>
                <w:rFonts w:hint="eastAsia" w:ascii="仿宋_GB2312" w:hAnsi="仿宋_GB2312" w:eastAsia="仿宋_GB2312" w:cs="仿宋_GB2312"/>
                <w:b/>
                <w:bCs/>
                <w:color w:val="000000"/>
                <w:sz w:val="32"/>
                <w:szCs w:val="32"/>
                <w:highlight w:val="none"/>
                <w:vertAlign w:val="baseline"/>
                <w:lang w:eastAsia="zh-CN"/>
              </w:rPr>
            </w:pPr>
            <w:r>
              <w:rPr>
                <w:rFonts w:hint="eastAsia" w:ascii="仿宋_GB2312" w:hAnsi="仿宋_GB2312" w:eastAsia="仿宋_GB2312" w:cs="仿宋_GB2312"/>
                <w:b/>
                <w:bCs/>
                <w:color w:val="000000"/>
                <w:sz w:val="22"/>
                <w:szCs w:val="31"/>
                <w:highlight w:val="none"/>
              </w:rPr>
              <w:t>2035年</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napToGrid w:val="0"/>
              <w:spacing w:before="0" w:beforeAutospacing="0" w:after="0" w:afterAutospacing="0" w:line="220" w:lineRule="exact"/>
              <w:ind w:left="0" w:right="0"/>
              <w:jc w:val="center"/>
              <w:rPr>
                <w:rFonts w:hint="eastAsia" w:ascii="仿宋_GB2312" w:hAnsi="仿宋_GB2312" w:eastAsia="仿宋_GB2312" w:cs="仿宋_GB2312"/>
                <w:b/>
                <w:bCs/>
                <w:color w:val="000000"/>
                <w:sz w:val="22"/>
                <w:szCs w:val="31"/>
                <w:highlight w:val="none"/>
              </w:rPr>
            </w:pPr>
            <w:r>
              <w:rPr>
                <w:rFonts w:hint="eastAsia" w:ascii="仿宋_GB2312" w:hAnsi="仿宋_GB2312" w:eastAsia="仿宋_GB2312" w:cs="仿宋_GB2312"/>
                <w:b/>
                <w:bCs/>
                <w:color w:val="000000"/>
                <w:sz w:val="22"/>
                <w:szCs w:val="31"/>
                <w:highlight w:val="none"/>
              </w:rPr>
              <w:t>指标</w:t>
            </w:r>
          </w:p>
          <w:p>
            <w:pPr>
              <w:keepNext w:val="0"/>
              <w:keepLines w:val="0"/>
              <w:suppressLineNumbers w:val="0"/>
              <w:overflowPunct w:val="0"/>
              <w:snapToGrid w:val="0"/>
              <w:spacing w:before="0" w:beforeAutospacing="0" w:after="0" w:afterAutospacing="0" w:line="220" w:lineRule="exact"/>
              <w:ind w:left="0" w:right="0"/>
              <w:jc w:val="center"/>
              <w:rPr>
                <w:rFonts w:hint="eastAsia" w:ascii="仿宋_GB2312" w:hAnsi="仿宋_GB2312" w:eastAsia="仿宋_GB2312" w:cs="仿宋_GB2312"/>
                <w:b/>
                <w:bCs/>
                <w:color w:val="000000"/>
                <w:sz w:val="32"/>
                <w:szCs w:val="32"/>
                <w:highlight w:val="none"/>
                <w:vertAlign w:val="baseline"/>
                <w:lang w:eastAsia="zh-CN"/>
              </w:rPr>
            </w:pPr>
            <w:r>
              <w:rPr>
                <w:rFonts w:hint="eastAsia" w:ascii="仿宋_GB2312" w:hAnsi="仿宋_GB2312" w:eastAsia="仿宋_GB2312" w:cs="仿宋_GB2312"/>
                <w:b/>
                <w:bCs/>
                <w:color w:val="000000"/>
                <w:sz w:val="22"/>
                <w:szCs w:val="31"/>
                <w:highlight w:val="none"/>
              </w:rPr>
              <w:t>属性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napToGrid w:val="0"/>
              <w:spacing w:before="0" w:beforeAutospacing="0" w:after="0" w:afterAutospacing="0" w:line="220" w:lineRule="exact"/>
              <w:ind w:left="0" w:right="0"/>
              <w:jc w:val="center"/>
              <w:rPr>
                <w:rFonts w:hint="eastAsia" w:ascii="仿宋_GB2312" w:hAnsi="仿宋_GB2312" w:eastAsia="仿宋_GB2312" w:cs="仿宋_GB2312"/>
                <w:b/>
                <w:bCs/>
                <w:color w:val="000000"/>
                <w:sz w:val="32"/>
                <w:szCs w:val="32"/>
                <w:highlight w:val="none"/>
                <w:vertAlign w:val="baseline"/>
                <w:lang w:eastAsia="zh-CN"/>
              </w:rPr>
            </w:pPr>
            <w:r>
              <w:rPr>
                <w:rFonts w:hint="eastAsia" w:ascii="仿宋_GB2312" w:hAnsi="仿宋_GB2312" w:eastAsia="仿宋_GB2312" w:cs="仿宋_GB2312"/>
                <w:b/>
                <w:bCs/>
                <w:color w:val="000000"/>
                <w:sz w:val="22"/>
                <w:szCs w:val="31"/>
                <w:highlight w:val="none"/>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r>
              <w:rPr>
                <w:rFonts w:hint="eastAsia" w:ascii="仿宋_GB2312" w:hAnsi="仿宋_GB2312" w:eastAsia="仿宋_GB2312" w:cs="仿宋_GB2312"/>
                <w:b/>
                <w:bCs/>
                <w:color w:val="000000"/>
                <w:sz w:val="22"/>
                <w:szCs w:val="31"/>
                <w:highlight w:val="none"/>
              </w:rPr>
              <w:t>绿色生产</w:t>
            </w: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b/>
                <w:bCs/>
                <w:color w:val="000000"/>
                <w:kern w:val="2"/>
                <w:sz w:val="22"/>
                <w:szCs w:val="31"/>
                <w:highlight w:val="none"/>
                <w:lang w:val="en-US" w:eastAsia="zh-CN" w:bidi="ar-SA"/>
              </w:rPr>
            </w:pPr>
            <w:r>
              <w:rPr>
                <w:rFonts w:hint="eastAsia" w:ascii="仿宋_GB2312" w:hAnsi="仿宋_GB2312" w:eastAsia="仿宋_GB2312" w:cs="仿宋_GB2312"/>
                <w:b/>
                <w:bCs/>
                <w:color w:val="000000"/>
                <w:sz w:val="22"/>
                <w:szCs w:val="31"/>
                <w:highlight w:val="none"/>
              </w:rPr>
              <w:t>1</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单位GDP二氧化碳排放降低（%）</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Lines="0" w:beforeAutospacing="0" w:after="40" w:afterLines="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31"/>
                <w:highlight w:val="none"/>
                <w:lang w:val="en-US" w:eastAsia="zh-CN"/>
              </w:rPr>
              <w:t>19.5</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Lines="0" w:beforeAutospacing="0" w:after="40" w:afterLines="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完成</w:t>
            </w:r>
            <w:r>
              <w:rPr>
                <w:rFonts w:hint="eastAsia" w:ascii="仿宋_GB2312" w:hAnsi="仿宋_GB2312" w:eastAsia="仿宋_GB2312" w:cs="仿宋_GB2312"/>
                <w:color w:val="000000"/>
                <w:sz w:val="22"/>
                <w:szCs w:val="22"/>
                <w:highlight w:val="none"/>
                <w:lang w:val="en-US" w:eastAsia="zh-CN"/>
              </w:rPr>
              <w:t>省</w:t>
            </w:r>
            <w:r>
              <w:rPr>
                <w:rFonts w:hint="eastAsia" w:ascii="仿宋_GB2312" w:hAnsi="仿宋_GB2312" w:cs="仿宋_GB2312"/>
                <w:color w:val="000000"/>
                <w:sz w:val="22"/>
                <w:szCs w:val="22"/>
                <w:highlight w:val="none"/>
                <w:lang w:val="en-US" w:eastAsia="zh-CN"/>
              </w:rPr>
              <w:t>生态环境厅</w:t>
            </w:r>
            <w:r>
              <w:rPr>
                <w:rFonts w:hint="eastAsia" w:ascii="仿宋_GB2312" w:hAnsi="仿宋_GB2312" w:eastAsia="仿宋_GB2312" w:cs="仿宋_GB2312"/>
                <w:color w:val="000000"/>
                <w:sz w:val="22"/>
                <w:szCs w:val="22"/>
                <w:highlight w:val="none"/>
              </w:rPr>
              <w:t>下达指标</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Lines="0" w:beforeAutospacing="0" w:after="40" w:afterLines="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完成</w:t>
            </w:r>
            <w:r>
              <w:rPr>
                <w:rFonts w:hint="eastAsia" w:ascii="仿宋_GB2312" w:hAnsi="仿宋_GB2312" w:eastAsia="仿宋_GB2312" w:cs="仿宋_GB2312"/>
                <w:color w:val="000000"/>
                <w:sz w:val="22"/>
                <w:szCs w:val="22"/>
                <w:highlight w:val="none"/>
                <w:lang w:val="en-US" w:eastAsia="zh-CN"/>
              </w:rPr>
              <w:t>省</w:t>
            </w:r>
            <w:r>
              <w:rPr>
                <w:rFonts w:hint="eastAsia" w:ascii="仿宋_GB2312" w:hAnsi="仿宋_GB2312" w:cs="仿宋_GB2312"/>
                <w:color w:val="000000"/>
                <w:sz w:val="22"/>
                <w:szCs w:val="22"/>
                <w:highlight w:val="none"/>
                <w:lang w:val="en-US" w:eastAsia="zh-CN"/>
              </w:rPr>
              <w:t>生态环境厅</w:t>
            </w:r>
            <w:r>
              <w:rPr>
                <w:rFonts w:hint="eastAsia" w:ascii="仿宋_GB2312" w:hAnsi="仿宋_GB2312" w:eastAsia="仿宋_GB2312" w:cs="仿宋_GB2312"/>
                <w:color w:val="000000"/>
                <w:sz w:val="22"/>
                <w:szCs w:val="22"/>
                <w:highlight w:val="none"/>
              </w:rPr>
              <w:t>下达指标</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约束性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b/>
                <w:bCs/>
                <w:color w:val="000000"/>
                <w:kern w:val="2"/>
                <w:sz w:val="22"/>
                <w:szCs w:val="31"/>
                <w:highlight w:val="none"/>
                <w:lang w:val="en-US" w:eastAsia="zh-CN" w:bidi="ar-SA"/>
              </w:rPr>
            </w:pPr>
            <w:r>
              <w:rPr>
                <w:rFonts w:hint="eastAsia" w:ascii="仿宋_GB2312" w:hAnsi="仿宋_GB2312" w:eastAsia="仿宋_GB2312" w:cs="仿宋_GB2312"/>
                <w:b/>
                <w:bCs/>
                <w:color w:val="000000"/>
                <w:sz w:val="22"/>
                <w:szCs w:val="31"/>
                <w:highlight w:val="none"/>
              </w:rPr>
              <w:t>2</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二氧化碳排放总量（亿吨）</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Lines="0" w:beforeAutospacing="0" w:after="40" w:afterLines="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31"/>
                <w:highlight w:val="none"/>
                <w:lang w:val="en-US" w:eastAsia="zh-CN"/>
              </w:rPr>
              <w:t>/</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Lines="0" w:beforeAutospacing="0" w:after="40" w:afterLines="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31"/>
                <w:highlight w:val="none"/>
                <w:lang w:val="en-US" w:eastAsia="zh-CN"/>
              </w:rPr>
              <w:t>达到峰值</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Lines="0" w:beforeAutospacing="0" w:after="40" w:afterLines="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31"/>
                <w:highlight w:val="none"/>
                <w:lang w:eastAsia="zh-CN"/>
              </w:rPr>
              <w:t>比</w:t>
            </w:r>
            <w:r>
              <w:rPr>
                <w:rFonts w:hint="eastAsia" w:ascii="仿宋_GB2312" w:hAnsi="仿宋_GB2312" w:eastAsia="仿宋_GB2312" w:cs="仿宋_GB2312"/>
                <w:color w:val="000000"/>
                <w:sz w:val="22"/>
                <w:szCs w:val="31"/>
                <w:highlight w:val="none"/>
                <w:lang w:val="en-US" w:eastAsia="zh-CN"/>
              </w:rPr>
              <w:t>2030年有所下降</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约束性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b/>
                <w:bCs/>
                <w:color w:val="000000"/>
                <w:kern w:val="2"/>
                <w:sz w:val="22"/>
                <w:szCs w:val="31"/>
                <w:highlight w:val="none"/>
                <w:lang w:val="en-US" w:eastAsia="zh-CN" w:bidi="ar-SA"/>
              </w:rPr>
            </w:pPr>
            <w:r>
              <w:rPr>
                <w:rFonts w:hint="eastAsia" w:ascii="仿宋_GB2312" w:hAnsi="仿宋_GB2312" w:eastAsia="仿宋_GB2312" w:cs="仿宋_GB2312"/>
                <w:b/>
                <w:bCs/>
                <w:color w:val="000000"/>
                <w:sz w:val="22"/>
                <w:szCs w:val="31"/>
                <w:highlight w:val="none"/>
              </w:rPr>
              <w:t>3</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城乡居民收入比</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rPr>
              <w:t>1.76</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bCs/>
                <w:color w:val="000000"/>
                <w:sz w:val="22"/>
                <w:szCs w:val="22"/>
                <w:highlight w:val="none"/>
                <w:lang w:val="en-US" w:eastAsia="zh-CN"/>
              </w:rPr>
              <w:t>1.58</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rPr>
              <w:t>1.41</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预期性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color w:val="000000"/>
                <w:sz w:val="22"/>
                <w:szCs w:val="22"/>
                <w:highlight w:val="none"/>
                <w:lang w:eastAsia="zh-CN"/>
              </w:rPr>
              <w:t>市发改委、</w:t>
            </w:r>
          </w:p>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w:t>
            </w:r>
            <w:r>
              <w:rPr>
                <w:rFonts w:hint="eastAsia" w:ascii="仿宋_GB2312" w:hAnsi="仿宋_GB2312" w:eastAsia="仿宋_GB2312" w:cs="仿宋_GB2312"/>
                <w:color w:val="000000"/>
                <w:sz w:val="22"/>
                <w:szCs w:val="22"/>
                <w:highlight w:val="none"/>
                <w:lang w:val="en-US" w:eastAsia="zh-CN"/>
              </w:rPr>
              <w:t>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b/>
                <w:bCs/>
                <w:color w:val="000000"/>
                <w:kern w:val="2"/>
                <w:sz w:val="22"/>
                <w:szCs w:val="31"/>
                <w:highlight w:val="none"/>
                <w:lang w:val="en-US" w:eastAsia="zh-CN" w:bidi="ar-SA"/>
              </w:rPr>
            </w:pPr>
            <w:r>
              <w:rPr>
                <w:rFonts w:hint="eastAsia" w:ascii="仿宋_GB2312" w:hAnsi="仿宋_GB2312" w:eastAsia="仿宋_GB2312" w:cs="仿宋_GB2312"/>
                <w:b/>
                <w:bCs/>
                <w:color w:val="000000"/>
                <w:sz w:val="22"/>
                <w:szCs w:val="31"/>
                <w:highlight w:val="none"/>
              </w:rPr>
              <w:t>4</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非化石能源占能源消费总量比例（%）</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35</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45</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稳步提高</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预期性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市发改委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r>
              <w:rPr>
                <w:rFonts w:hint="eastAsia" w:ascii="仿宋_GB2312" w:hAnsi="仿宋_GB2312" w:eastAsia="仿宋_GB2312" w:cs="仿宋_GB2312"/>
                <w:b/>
                <w:bCs/>
                <w:color w:val="000000"/>
                <w:sz w:val="22"/>
                <w:szCs w:val="31"/>
                <w:highlight w:val="none"/>
              </w:rPr>
              <w:t>生态保护</w:t>
            </w: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31"/>
                <w:highlight w:val="none"/>
                <w:lang w:val="en-US" w:eastAsia="zh-CN" w:bidi="ar-SA"/>
              </w:rPr>
            </w:pPr>
            <w:r>
              <w:rPr>
                <w:rFonts w:hint="eastAsia" w:ascii="仿宋_GB2312" w:hAnsi="仿宋_GB2312" w:eastAsia="仿宋_GB2312" w:cs="仿宋_GB2312"/>
                <w:b/>
                <w:bCs/>
                <w:color w:val="000000"/>
                <w:sz w:val="22"/>
                <w:szCs w:val="31"/>
                <w:highlight w:val="none"/>
              </w:rPr>
              <w:t>5</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pStyle w:val="3"/>
              <w:keepNext w:val="0"/>
              <w:keepLines w:val="0"/>
              <w:suppressLineNumbers w:val="0"/>
              <w:spacing w:before="0" w:beforeAutospacing="0" w:afterAutospacing="0"/>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生态文明示范建设覆盖率</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≥70%</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稳步提高</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全面覆盖</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约束性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color w:val="000000"/>
                <w:sz w:val="22"/>
                <w:szCs w:val="22"/>
                <w:highlight w:val="none"/>
                <w:lang w:eastAsia="zh-CN"/>
              </w:rPr>
              <w:t>市生态环境局、市水利局、</w:t>
            </w:r>
          </w:p>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color w:val="000000"/>
                <w:sz w:val="22"/>
                <w:szCs w:val="22"/>
                <w:highlight w:val="none"/>
                <w:lang w:eastAsia="zh-CN"/>
              </w:rPr>
              <w:t>市林业局、</w:t>
            </w:r>
          </w:p>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lang w:eastAsia="zh-CN"/>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b/>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rPr>
              <w:t>6</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生态保护红线</w:t>
            </w:r>
          </w:p>
        </w:tc>
        <w:tc>
          <w:tcPr>
            <w:tcW w:w="3236"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2275.78平方公里</w:t>
            </w:r>
            <w:r>
              <w:rPr>
                <w:rFonts w:hint="eastAsia" w:ascii="仿宋_GB2312" w:hAnsi="仿宋_GB2312" w:eastAsia="仿宋_GB2312" w:cs="仿宋_GB2312"/>
                <w:color w:val="000000"/>
                <w:sz w:val="22"/>
                <w:szCs w:val="22"/>
                <w:highlight w:val="none"/>
                <w:lang w:val="en-US" w:eastAsia="zh-CN"/>
              </w:rPr>
              <w:t>*</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约束性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rPr>
              <w:t>7</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生态质量指数（EQI）</w:t>
            </w:r>
          </w:p>
        </w:tc>
        <w:tc>
          <w:tcPr>
            <w:tcW w:w="3236"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稳中向好</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预期性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b/>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rPr>
              <w:t>8</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森林蓄积量（</w:t>
            </w:r>
            <w:r>
              <w:rPr>
                <w:rFonts w:hint="eastAsia" w:ascii="仿宋_GB2312" w:hAnsi="仿宋_GB2312" w:eastAsia="仿宋_GB2312" w:cs="仿宋_GB2312"/>
                <w:color w:val="000000"/>
                <w:sz w:val="22"/>
                <w:szCs w:val="22"/>
                <w:highlight w:val="none"/>
                <w:lang w:eastAsia="zh-CN"/>
              </w:rPr>
              <w:t>万</w:t>
            </w:r>
            <w:r>
              <w:rPr>
                <w:rFonts w:hint="eastAsia" w:ascii="仿宋_GB2312" w:hAnsi="仿宋_GB2312" w:eastAsia="仿宋_GB2312" w:cs="仿宋_GB2312"/>
                <w:color w:val="000000"/>
                <w:sz w:val="22"/>
                <w:szCs w:val="22"/>
                <w:highlight w:val="none"/>
              </w:rPr>
              <w:t>立方米）</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1531</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1572</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1629</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rPr>
              <w:t>约束性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val="en-US" w:eastAsia="zh-CN"/>
              </w:rPr>
              <w:t>市</w:t>
            </w:r>
            <w:r>
              <w:rPr>
                <w:rFonts w:hint="eastAsia" w:ascii="仿宋_GB2312" w:hAnsi="仿宋_GB2312" w:eastAsia="仿宋_GB2312" w:cs="仿宋_GB2312"/>
                <w:color w:val="000000"/>
                <w:sz w:val="22"/>
                <w:szCs w:val="22"/>
                <w:highlight w:val="none"/>
                <w:lang w:eastAsia="zh-CN"/>
              </w:rPr>
              <w:t>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rPr>
              <w:t>9</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default" w:ascii="仿宋_GB2312" w:hAnsi="仿宋_GB2312" w:eastAsia="仿宋_GB2312" w:cs="仿宋_GB2312"/>
                <w:color w:val="000000"/>
                <w:sz w:val="22"/>
                <w:szCs w:val="31"/>
                <w:highlight w:val="none"/>
                <w:lang w:val="en-US" w:eastAsia="zh-CN"/>
              </w:rPr>
            </w:pPr>
            <w:r>
              <w:rPr>
                <w:rFonts w:hint="eastAsia" w:ascii="仿宋_GB2312" w:hAnsi="仿宋_GB2312" w:eastAsia="仿宋_GB2312" w:cs="仿宋_GB2312"/>
                <w:color w:val="000000"/>
                <w:sz w:val="22"/>
                <w:szCs w:val="31"/>
                <w:highlight w:val="none"/>
                <w:lang w:val="en-US" w:eastAsia="zh-CN"/>
              </w:rPr>
              <w:t>森林覆盖率</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Lines="0" w:beforeAutospacing="0" w:after="40" w:afterLines="0" w:afterAutospacing="0" w:line="210" w:lineRule="exact"/>
              <w:ind w:left="0" w:right="0"/>
              <w:jc w:val="center"/>
              <w:rPr>
                <w:rFonts w:hint="default" w:ascii="仿宋_GB2312" w:hAnsi="仿宋_GB2312" w:eastAsia="仿宋_GB2312" w:cs="仿宋_GB2312"/>
                <w:color w:val="000000"/>
                <w:sz w:val="22"/>
                <w:szCs w:val="31"/>
                <w:highlight w:val="none"/>
                <w:lang w:val="en-US" w:eastAsia="zh-CN"/>
              </w:rPr>
            </w:pPr>
            <w:r>
              <w:rPr>
                <w:rFonts w:hint="eastAsia" w:ascii="仿宋_GB2312" w:hAnsi="仿宋_GB2312" w:eastAsia="仿宋_GB2312" w:cs="仿宋_GB2312"/>
                <w:color w:val="000000"/>
                <w:sz w:val="22"/>
                <w:szCs w:val="22"/>
                <w:highlight w:val="none"/>
              </w:rPr>
              <w:t>完成</w:t>
            </w:r>
            <w:r>
              <w:rPr>
                <w:rFonts w:hint="eastAsia" w:ascii="仿宋_GB2312" w:hAnsi="仿宋_GB2312" w:eastAsia="仿宋_GB2312" w:cs="仿宋_GB2312"/>
                <w:color w:val="000000"/>
                <w:sz w:val="22"/>
                <w:szCs w:val="22"/>
                <w:highlight w:val="none"/>
                <w:lang w:val="en-US" w:eastAsia="zh-CN"/>
              </w:rPr>
              <w:t>省</w:t>
            </w:r>
            <w:r>
              <w:rPr>
                <w:rFonts w:hint="eastAsia" w:ascii="仿宋_GB2312" w:hAnsi="仿宋_GB2312" w:cs="仿宋_GB2312"/>
                <w:color w:val="000000"/>
                <w:sz w:val="22"/>
                <w:szCs w:val="22"/>
                <w:highlight w:val="none"/>
                <w:lang w:val="en-US" w:eastAsia="zh-CN"/>
              </w:rPr>
              <w:t>林业局</w:t>
            </w:r>
            <w:r>
              <w:rPr>
                <w:rFonts w:hint="eastAsia" w:ascii="仿宋_GB2312" w:hAnsi="仿宋_GB2312" w:eastAsia="仿宋_GB2312" w:cs="仿宋_GB2312"/>
                <w:color w:val="000000"/>
                <w:sz w:val="22"/>
                <w:szCs w:val="22"/>
                <w:highlight w:val="none"/>
              </w:rPr>
              <w:t>下达指标</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Lines="0" w:beforeAutospacing="0" w:after="40" w:afterLines="0" w:afterAutospacing="0" w:line="210" w:lineRule="exact"/>
              <w:ind w:left="0" w:right="0"/>
              <w:jc w:val="center"/>
              <w:rPr>
                <w:rFonts w:hint="default" w:ascii="仿宋_GB2312" w:hAnsi="仿宋_GB2312" w:eastAsia="仿宋_GB2312" w:cs="仿宋_GB2312"/>
                <w:color w:val="000000"/>
                <w:sz w:val="22"/>
                <w:szCs w:val="31"/>
                <w:highlight w:val="none"/>
                <w:lang w:val="en-US" w:eastAsia="zh-CN"/>
              </w:rPr>
            </w:pPr>
            <w:r>
              <w:rPr>
                <w:rFonts w:hint="eastAsia" w:ascii="仿宋_GB2312" w:hAnsi="仿宋_GB2312" w:eastAsia="仿宋_GB2312" w:cs="仿宋_GB2312"/>
                <w:color w:val="000000"/>
                <w:sz w:val="22"/>
                <w:szCs w:val="22"/>
                <w:highlight w:val="none"/>
              </w:rPr>
              <w:t>完成</w:t>
            </w:r>
            <w:r>
              <w:rPr>
                <w:rFonts w:hint="eastAsia" w:ascii="仿宋_GB2312" w:hAnsi="仿宋_GB2312" w:eastAsia="仿宋_GB2312" w:cs="仿宋_GB2312"/>
                <w:color w:val="000000"/>
                <w:sz w:val="22"/>
                <w:szCs w:val="22"/>
                <w:highlight w:val="none"/>
                <w:lang w:val="en-US" w:eastAsia="zh-CN"/>
              </w:rPr>
              <w:t>省</w:t>
            </w:r>
            <w:r>
              <w:rPr>
                <w:rFonts w:hint="eastAsia" w:ascii="仿宋_GB2312" w:hAnsi="仿宋_GB2312" w:cs="仿宋_GB2312"/>
                <w:color w:val="000000"/>
                <w:sz w:val="22"/>
                <w:szCs w:val="22"/>
                <w:highlight w:val="none"/>
                <w:lang w:val="en-US" w:eastAsia="zh-CN"/>
              </w:rPr>
              <w:t>林业局</w:t>
            </w:r>
            <w:r>
              <w:rPr>
                <w:rFonts w:hint="eastAsia" w:ascii="仿宋_GB2312" w:hAnsi="仿宋_GB2312" w:eastAsia="仿宋_GB2312" w:cs="仿宋_GB2312"/>
                <w:color w:val="000000"/>
                <w:sz w:val="22"/>
                <w:szCs w:val="22"/>
                <w:highlight w:val="none"/>
              </w:rPr>
              <w:t>下达指标</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Lines="0" w:beforeAutospacing="0" w:after="40" w:afterLines="0" w:afterAutospacing="0" w:line="210" w:lineRule="exact"/>
              <w:ind w:left="0" w:right="0"/>
              <w:jc w:val="center"/>
              <w:rPr>
                <w:rFonts w:hint="default" w:ascii="仿宋_GB2312" w:hAnsi="仿宋_GB2312" w:eastAsia="仿宋_GB2312" w:cs="仿宋_GB2312"/>
                <w:color w:val="000000"/>
                <w:sz w:val="22"/>
                <w:szCs w:val="31"/>
                <w:highlight w:val="none"/>
                <w:lang w:val="en-US" w:eastAsia="zh-CN"/>
              </w:rPr>
            </w:pPr>
            <w:r>
              <w:rPr>
                <w:rFonts w:hint="eastAsia" w:ascii="仿宋_GB2312" w:hAnsi="仿宋_GB2312" w:eastAsia="仿宋_GB2312" w:cs="仿宋_GB2312"/>
                <w:color w:val="000000"/>
                <w:sz w:val="22"/>
                <w:szCs w:val="22"/>
                <w:highlight w:val="none"/>
              </w:rPr>
              <w:t>完成</w:t>
            </w:r>
            <w:r>
              <w:rPr>
                <w:rFonts w:hint="eastAsia" w:ascii="仿宋_GB2312" w:hAnsi="仿宋_GB2312" w:eastAsia="仿宋_GB2312" w:cs="仿宋_GB2312"/>
                <w:color w:val="000000"/>
                <w:sz w:val="22"/>
                <w:szCs w:val="22"/>
                <w:highlight w:val="none"/>
                <w:lang w:val="en-US" w:eastAsia="zh-CN"/>
              </w:rPr>
              <w:t>省</w:t>
            </w:r>
            <w:r>
              <w:rPr>
                <w:rFonts w:hint="eastAsia" w:ascii="仿宋_GB2312" w:hAnsi="仿宋_GB2312" w:cs="仿宋_GB2312"/>
                <w:color w:val="000000"/>
                <w:sz w:val="22"/>
                <w:szCs w:val="22"/>
                <w:highlight w:val="none"/>
                <w:lang w:val="en-US" w:eastAsia="zh-CN"/>
              </w:rPr>
              <w:t>林业局</w:t>
            </w:r>
            <w:r>
              <w:rPr>
                <w:rFonts w:hint="eastAsia" w:ascii="仿宋_GB2312" w:hAnsi="仿宋_GB2312" w:eastAsia="仿宋_GB2312" w:cs="仿宋_GB2312"/>
                <w:color w:val="000000"/>
                <w:sz w:val="22"/>
                <w:szCs w:val="22"/>
                <w:highlight w:val="none"/>
              </w:rPr>
              <w:t>下达指标</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约束性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val="en-US" w:eastAsia="zh-CN"/>
              </w:rPr>
              <w:t>市</w:t>
            </w:r>
            <w:r>
              <w:rPr>
                <w:rFonts w:hint="eastAsia" w:ascii="仿宋_GB2312" w:hAnsi="仿宋_GB2312" w:eastAsia="仿宋_GB2312" w:cs="仿宋_GB2312"/>
                <w:color w:val="000000"/>
                <w:sz w:val="22"/>
                <w:szCs w:val="22"/>
                <w:highlight w:val="none"/>
                <w:lang w:eastAsia="zh-CN"/>
              </w:rPr>
              <w:t>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rPr>
              <w:t>10</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0"/>
                <w:sz w:val="22"/>
                <w:szCs w:val="22"/>
                <w:highlight w:val="none"/>
              </w:rPr>
              <w:t>重点生物物种种数保护率（%）</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80</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稳步提高</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全面保护</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0"/>
                <w:sz w:val="22"/>
                <w:szCs w:val="22"/>
                <w:highlight w:val="none"/>
              </w:rPr>
              <w:t>约束性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市生态环境局、市</w:t>
            </w:r>
            <w:r>
              <w:rPr>
                <w:rFonts w:hint="eastAsia" w:ascii="仿宋_GB2312" w:hAnsi="仿宋_GB2312" w:eastAsia="仿宋_GB2312" w:cs="仿宋_GB2312"/>
                <w:color w:val="000000"/>
                <w:sz w:val="22"/>
                <w:szCs w:val="22"/>
                <w:highlight w:val="none"/>
                <w:lang w:val="en-US" w:eastAsia="zh-CN"/>
              </w:rPr>
              <w:t>林业局</w:t>
            </w:r>
            <w:r>
              <w:rPr>
                <w:rFonts w:hint="eastAsia" w:ascii="仿宋_GB2312" w:hAnsi="仿宋_GB2312" w:eastAsia="仿宋_GB2312" w:cs="仿宋_GB2312"/>
                <w:color w:val="000000"/>
                <w:sz w:val="22"/>
                <w:szCs w:val="22"/>
                <w:highlight w:val="none"/>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rPr>
              <w:t>11</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水土保持率（%）</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93</w:t>
            </w:r>
            <w:r>
              <w:rPr>
                <w:rFonts w:hint="eastAsia" w:ascii="仿宋_GB2312" w:hAnsi="仿宋_GB2312" w:eastAsia="仿宋_GB2312" w:cs="仿宋_GB2312"/>
                <w:color w:val="000000"/>
                <w:sz w:val="22"/>
                <w:szCs w:val="22"/>
                <w:highlight w:val="none"/>
                <w:lang w:val="en-US" w:eastAsia="zh-CN"/>
              </w:rPr>
              <w:t>.4</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稳步提高</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94</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预期性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rPr>
              <w:t>12</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湿地保护率（%）</w:t>
            </w:r>
          </w:p>
        </w:tc>
        <w:tc>
          <w:tcPr>
            <w:tcW w:w="3236"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z w:val="22"/>
                <w:szCs w:val="31"/>
                <w:highlight w:val="none"/>
                <w:shd w:val="clear" w:color="auto" w:fill="auto"/>
                <w:lang w:val="en-US" w:eastAsia="zh-CN"/>
              </w:rPr>
              <w:t>达到省</w:t>
            </w:r>
            <w:r>
              <w:rPr>
                <w:rFonts w:hint="eastAsia" w:ascii="仿宋_GB2312" w:hAnsi="仿宋_GB2312" w:cs="仿宋_GB2312"/>
                <w:color w:val="000000"/>
                <w:sz w:val="22"/>
                <w:szCs w:val="22"/>
                <w:highlight w:val="none"/>
                <w:lang w:val="en-US" w:eastAsia="zh-CN"/>
              </w:rPr>
              <w:t>林业局</w:t>
            </w:r>
            <w:r>
              <w:rPr>
                <w:rFonts w:hint="eastAsia" w:ascii="仿宋_GB2312" w:hAnsi="仿宋_GB2312" w:eastAsia="仿宋_GB2312" w:cs="仿宋_GB2312"/>
                <w:color w:val="000000"/>
                <w:sz w:val="22"/>
                <w:szCs w:val="31"/>
                <w:highlight w:val="none"/>
                <w:shd w:val="clear" w:color="auto" w:fill="auto"/>
                <w:lang w:val="en-US" w:eastAsia="zh-CN"/>
              </w:rPr>
              <w:t>下达指标要求</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约束性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市林业局等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
                <w:bCs/>
                <w:color w:val="000000"/>
                <w:sz w:val="22"/>
                <w:szCs w:val="31"/>
                <w:highlight w:val="none"/>
              </w:rPr>
            </w:pPr>
            <w:r>
              <w:rPr>
                <w:rFonts w:hint="eastAsia" w:ascii="仿宋_GB2312" w:hAnsi="仿宋_GB2312" w:eastAsia="仿宋_GB2312" w:cs="仿宋_GB2312"/>
                <w:b/>
                <w:bCs/>
                <w:color w:val="000000"/>
                <w:sz w:val="22"/>
                <w:szCs w:val="31"/>
                <w:highlight w:val="none"/>
              </w:rPr>
              <w:t>美丽</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r>
              <w:rPr>
                <w:rFonts w:hint="eastAsia" w:ascii="仿宋_GB2312" w:hAnsi="仿宋_GB2312" w:eastAsia="仿宋_GB2312" w:cs="仿宋_GB2312"/>
                <w:b/>
                <w:bCs/>
                <w:color w:val="000000"/>
                <w:sz w:val="22"/>
                <w:szCs w:val="31"/>
                <w:highlight w:val="none"/>
              </w:rPr>
              <w:t>城市</w:t>
            </w: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rPr>
              <w:t>13</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pStyle w:val="3"/>
              <w:keepNext w:val="0"/>
              <w:keepLines w:val="0"/>
              <w:suppressLineNumbers w:val="0"/>
              <w:spacing w:before="0" w:beforeAutospacing="0" w:afterAutospacing="0"/>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美丽城市建成率</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基本建成</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全面建成</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Lines="0" w:beforeAutospacing="0" w:after="40" w:afterLines="0" w:afterAutospacing="0" w:line="220" w:lineRule="exact"/>
              <w:ind w:left="0" w:right="0"/>
              <w:jc w:val="center"/>
              <w:rPr>
                <w:rFonts w:hint="eastAsia" w:ascii="仿宋_GB2312" w:hAnsi="仿宋_GB2312" w:eastAsia="仿宋_GB2312" w:cs="仿宋_GB2312"/>
                <w:color w:val="000000"/>
                <w:sz w:val="22"/>
                <w:szCs w:val="31"/>
                <w:highlight w:val="none"/>
              </w:rPr>
            </w:pPr>
            <w:r>
              <w:rPr>
                <w:rFonts w:hint="eastAsia" w:ascii="仿宋_GB2312" w:hAnsi="仿宋_GB2312" w:eastAsia="仿宋_GB2312" w:cs="仿宋_GB2312"/>
                <w:color w:val="000000"/>
                <w:sz w:val="22"/>
                <w:szCs w:val="22"/>
                <w:highlight w:val="none"/>
              </w:rPr>
              <w:t>约束性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color w:val="000000"/>
                <w:sz w:val="22"/>
                <w:szCs w:val="22"/>
                <w:highlight w:val="none"/>
                <w:lang w:eastAsia="zh-CN"/>
              </w:rPr>
              <w:t>市生态环境局、市住建局、</w:t>
            </w:r>
          </w:p>
          <w:p>
            <w:pPr>
              <w:keepNext w:val="0"/>
              <w:keepLines w:val="0"/>
              <w:suppressLineNumbers w:val="0"/>
              <w:overflowPunct w:val="0"/>
              <w:spacing w:before="40" w:beforeAutospacing="0" w:after="40" w:afterAutospacing="0" w:line="220" w:lineRule="exact"/>
              <w:ind w:left="0" w:right="0"/>
              <w:jc w:val="center"/>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eastAsia="zh-CN"/>
              </w:rPr>
              <w:t>市城市管理局、市自然资源局</w:t>
            </w:r>
            <w:r>
              <w:rPr>
                <w:rFonts w:hint="eastAsia" w:ascii="仿宋_GB2312" w:hAnsi="仿宋_GB2312" w:eastAsia="仿宋_GB2312" w:cs="仿宋_GB2312"/>
                <w:color w:val="000000"/>
                <w:sz w:val="22"/>
                <w:szCs w:val="22"/>
                <w:highlight w:val="no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rPr>
              <w:t>14</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全域</w:t>
            </w:r>
            <w:r>
              <w:rPr>
                <w:rFonts w:hint="eastAsia" w:ascii="仿宋_GB2312" w:hAnsi="仿宋_GB2312" w:eastAsia="仿宋_GB2312" w:cs="仿宋_GB2312"/>
                <w:color w:val="000000"/>
                <w:sz w:val="22"/>
                <w:szCs w:val="22"/>
                <w:highlight w:val="none"/>
              </w:rPr>
              <w:t>细颗粒物（PM2.5）年平均浓度（微克/立方米）</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≤21.5</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≤21</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10" w:lineRule="exact"/>
              <w:ind w:left="0" w:right="0"/>
              <w:jc w:val="center"/>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≤20</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Lines="0" w:beforeAutospacing="0" w:after="40" w:afterLines="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31"/>
                <w:highlight w:val="none"/>
              </w:rPr>
              <w:t>预期性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top"/>
          </w:tcPr>
          <w:p>
            <w:pPr>
              <w:keepNext w:val="0"/>
              <w:keepLines w:val="0"/>
              <w:suppressLineNumbers w:val="0"/>
              <w:spacing w:before="0" w:beforeAutospacing="0" w:after="0" w:afterAutospacing="0"/>
              <w:ind w:left="0" w:right="0"/>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rPr>
              <w:t>15</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rPr>
              <w:t>县级及以上城市O</w:t>
            </w:r>
            <w:r>
              <w:rPr>
                <w:rFonts w:hint="eastAsia" w:ascii="仿宋_GB2312" w:hAnsi="仿宋_GB2312" w:eastAsia="仿宋_GB2312" w:cs="仿宋_GB2312"/>
                <w:color w:val="000000"/>
                <w:kern w:val="0"/>
                <w:sz w:val="22"/>
                <w:szCs w:val="22"/>
                <w:highlight w:val="none"/>
                <w:vertAlign w:val="subscript"/>
              </w:rPr>
              <w:t>3</w:t>
            </w:r>
            <w:r>
              <w:rPr>
                <w:rFonts w:hint="eastAsia" w:ascii="仿宋_GB2312" w:hAnsi="仿宋_GB2312" w:eastAsia="仿宋_GB2312" w:cs="仿宋_GB2312"/>
                <w:color w:val="000000"/>
                <w:kern w:val="0"/>
                <w:sz w:val="22"/>
                <w:szCs w:val="22"/>
                <w:highlight w:val="none"/>
              </w:rPr>
              <w:t>浓度（微克/立方米）</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Lines="0" w:beforeAutospacing="0" w:after="40" w:afterLines="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kern w:val="0"/>
                <w:sz w:val="22"/>
                <w:szCs w:val="31"/>
                <w:highlight w:val="none"/>
                <w:lang w:val="en-US"/>
              </w:rPr>
              <w:t>138</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Lines="0" w:beforeAutospacing="0" w:after="40" w:afterLines="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kern w:val="0"/>
                <w:sz w:val="22"/>
                <w:szCs w:val="31"/>
                <w:highlight w:val="none"/>
                <w:lang w:val="en-US"/>
              </w:rPr>
              <w:t>136</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Lines="0" w:beforeAutospacing="0" w:after="40" w:afterLines="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kern w:val="0"/>
                <w:sz w:val="22"/>
                <w:szCs w:val="31"/>
                <w:highlight w:val="none"/>
                <w:lang w:val="en-US"/>
              </w:rPr>
              <w:t>134</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Lines="0" w:beforeAutospacing="0" w:after="40" w:afterLines="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31"/>
                <w:highlight w:val="none"/>
              </w:rPr>
              <w:t>预期性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top"/>
          </w:tcPr>
          <w:p>
            <w:pPr>
              <w:keepNext w:val="0"/>
              <w:keepLines w:val="0"/>
              <w:suppressLineNumbers w:val="0"/>
              <w:spacing w:before="0" w:beforeAutospacing="0" w:after="0" w:afterAutospacing="0"/>
              <w:ind w:left="0" w:right="0"/>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rPr>
              <w:t>16</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rPr>
              <w:t>城市生活污水集中收集率（%）</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kern w:val="0"/>
                <w:sz w:val="22"/>
                <w:szCs w:val="31"/>
                <w:highlight w:val="none"/>
                <w:lang w:val="en-US" w:eastAsia="zh-CN"/>
              </w:rPr>
              <w:t>≥70</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kern w:val="0"/>
                <w:sz w:val="22"/>
                <w:szCs w:val="31"/>
                <w:highlight w:val="none"/>
                <w:lang w:eastAsia="zh-CN"/>
              </w:rPr>
              <w:t>稳步提高</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kern w:val="0"/>
                <w:sz w:val="22"/>
                <w:szCs w:val="31"/>
                <w:highlight w:val="none"/>
                <w:lang w:eastAsia="zh-CN"/>
              </w:rPr>
              <w:t>收集管网</w:t>
            </w:r>
            <w:r>
              <w:rPr>
                <w:rFonts w:hint="eastAsia" w:ascii="仿宋_GB2312" w:hAnsi="仿宋_GB2312" w:eastAsia="仿宋_GB2312" w:cs="仿宋_GB2312"/>
                <w:color w:val="000000"/>
                <w:kern w:val="0"/>
                <w:sz w:val="22"/>
                <w:szCs w:val="31"/>
                <w:highlight w:val="none"/>
                <w:lang w:val="en-US" w:eastAsia="zh-CN"/>
              </w:rPr>
              <w:t xml:space="preserve">     基本</w:t>
            </w:r>
            <w:r>
              <w:rPr>
                <w:rFonts w:hint="eastAsia" w:ascii="仿宋_GB2312" w:hAnsi="仿宋_GB2312" w:eastAsia="仿宋_GB2312" w:cs="仿宋_GB2312"/>
                <w:color w:val="000000"/>
                <w:kern w:val="0"/>
                <w:sz w:val="22"/>
                <w:szCs w:val="31"/>
                <w:highlight w:val="none"/>
                <w:lang w:eastAsia="zh-CN"/>
              </w:rPr>
              <w:t>全覆盖</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约束性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top"/>
          </w:tcPr>
          <w:p>
            <w:pPr>
              <w:keepNext w:val="0"/>
              <w:keepLines w:val="0"/>
              <w:suppressLineNumbers w:val="0"/>
              <w:spacing w:before="0" w:beforeAutospacing="0" w:after="0" w:afterAutospacing="0"/>
              <w:ind w:left="0" w:right="0"/>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rPr>
              <w:t>17</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生活垃圾资源化利用率（%）</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z w:val="22"/>
                <w:szCs w:val="22"/>
                <w:highlight w:val="none"/>
                <w:lang w:eastAsia="zh-CN"/>
              </w:rPr>
              <w:t>稳步保持</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z w:val="22"/>
                <w:szCs w:val="22"/>
                <w:highlight w:val="none"/>
                <w:lang w:eastAsia="zh-CN"/>
              </w:rPr>
              <w:t>稳步保持</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z w:val="22"/>
                <w:szCs w:val="22"/>
                <w:highlight w:val="none"/>
                <w:lang w:eastAsia="zh-CN"/>
              </w:rPr>
              <w:t>稳步保持</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autoSpaceDE w:val="0"/>
              <w:autoSpaceDN w:val="0"/>
              <w:adjustRightInd w:val="0"/>
              <w:snapToGrid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预期性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autoSpaceDE w:val="0"/>
              <w:autoSpaceDN w:val="0"/>
              <w:adjustRightInd w:val="0"/>
              <w:snapToGrid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top"/>
          </w:tcPr>
          <w:p>
            <w:pPr>
              <w:keepNext w:val="0"/>
              <w:keepLines w:val="0"/>
              <w:suppressLineNumbers w:val="0"/>
              <w:spacing w:before="0" w:beforeAutospacing="0" w:after="0" w:afterAutospacing="0"/>
              <w:ind w:left="0" w:right="0"/>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rPr>
              <w:t>18</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重点建设用地安全利用（%）</w:t>
            </w:r>
          </w:p>
        </w:tc>
        <w:tc>
          <w:tcPr>
            <w:tcW w:w="3236"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有效保障</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约束性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市生态环境局</w:t>
            </w:r>
            <w:r>
              <w:rPr>
                <w:rFonts w:hint="eastAsia" w:ascii="仿宋_GB2312" w:hAnsi="仿宋_GB2312" w:eastAsia="仿宋_GB2312" w:cs="仿宋_GB2312"/>
                <w:color w:val="000000"/>
                <w:sz w:val="22"/>
                <w:szCs w:val="22"/>
                <w:highlight w:val="none"/>
              </w:rPr>
              <w:t>、</w:t>
            </w:r>
            <w:r>
              <w:rPr>
                <w:rFonts w:hint="eastAsia" w:ascii="仿宋_GB2312" w:hAnsi="仿宋_GB2312" w:eastAsia="仿宋_GB2312" w:cs="仿宋_GB2312"/>
                <w:color w:val="000000"/>
                <w:sz w:val="22"/>
                <w:szCs w:val="22"/>
                <w:highlight w:val="none"/>
                <w:lang w:eastAsia="zh-CN"/>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top"/>
          </w:tcPr>
          <w:p>
            <w:pPr>
              <w:keepNext w:val="0"/>
              <w:keepLines w:val="0"/>
              <w:suppressLineNumbers w:val="0"/>
              <w:spacing w:before="0" w:beforeAutospacing="0" w:after="0" w:afterAutospacing="0"/>
              <w:ind w:left="0" w:right="0"/>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default" w:ascii="仿宋_GB2312" w:hAnsi="仿宋_GB2312" w:eastAsia="仿宋_GB2312" w:cs="仿宋_GB2312"/>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lang w:val="en-US" w:eastAsia="zh-CN"/>
              </w:rPr>
              <w:t>19</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公园绿化活动场地服务半径覆盖率（%）</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val="en-US" w:eastAsia="zh-CN"/>
              </w:rPr>
            </w:pPr>
            <w:r>
              <w:rPr>
                <w:rFonts w:hint="eastAsia" w:ascii="仿宋_GB2312" w:hAnsi="仿宋_GB2312" w:eastAsia="仿宋_GB2312" w:cs="仿宋_GB2312"/>
                <w:color w:val="000000"/>
                <w:sz w:val="22"/>
                <w:szCs w:val="22"/>
                <w:highlight w:val="none"/>
              </w:rPr>
              <w:t>≥8</w:t>
            </w:r>
            <w:r>
              <w:rPr>
                <w:rFonts w:hint="eastAsia" w:ascii="仿宋_GB2312" w:hAnsi="仿宋_GB2312" w:eastAsia="仿宋_GB2312" w:cs="仿宋_GB2312"/>
                <w:color w:val="000000"/>
                <w:sz w:val="22"/>
                <w:szCs w:val="22"/>
                <w:highlight w:val="none"/>
                <w:lang w:val="en-US" w:eastAsia="zh-CN"/>
              </w:rPr>
              <w:t>7</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z w:val="22"/>
                <w:szCs w:val="22"/>
                <w:highlight w:val="none"/>
              </w:rPr>
              <w:t>稳步提高</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z w:val="22"/>
                <w:szCs w:val="22"/>
                <w:highlight w:val="none"/>
              </w:rPr>
              <w:t>稳步提高</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预期性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top"/>
          </w:tcPr>
          <w:p>
            <w:pPr>
              <w:keepNext w:val="0"/>
              <w:keepLines w:val="0"/>
              <w:suppressLineNumbers w:val="0"/>
              <w:spacing w:before="0" w:beforeAutospacing="0" w:after="0" w:afterAutospacing="0"/>
              <w:ind w:left="0" w:right="0"/>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rPr>
              <w:t>20</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31"/>
                <w:highlight w:val="none"/>
                <w:lang w:eastAsia="zh-CN"/>
              </w:rPr>
              <w:t>城市公交车辆</w:t>
            </w:r>
            <w:r>
              <w:rPr>
                <w:rFonts w:hint="eastAsia" w:ascii="仿宋_GB2312" w:hAnsi="仿宋_GB2312" w:eastAsia="仿宋_GB2312" w:cs="仿宋_GB2312"/>
                <w:color w:val="000000"/>
                <w:sz w:val="22"/>
                <w:szCs w:val="31"/>
                <w:highlight w:val="none"/>
              </w:rPr>
              <w:t>占机动车出行比率</w:t>
            </w:r>
            <w:r>
              <w:rPr>
                <w:rFonts w:hint="eastAsia" w:ascii="仿宋_GB2312" w:hAnsi="仿宋_GB2312" w:eastAsia="仿宋_GB2312" w:cs="仿宋_GB2312"/>
                <w:color w:val="000000"/>
                <w:sz w:val="22"/>
                <w:szCs w:val="31"/>
                <w:highlight w:val="none"/>
                <w:lang w:eastAsia="zh-CN"/>
              </w:rPr>
              <w:t>（</w:t>
            </w:r>
            <w:r>
              <w:rPr>
                <w:rFonts w:hint="eastAsia" w:ascii="仿宋_GB2312" w:hAnsi="仿宋_GB2312" w:eastAsia="仿宋_GB2312" w:cs="仿宋_GB2312"/>
                <w:color w:val="000000"/>
                <w:sz w:val="22"/>
                <w:szCs w:val="31"/>
                <w:highlight w:val="none"/>
                <w:lang w:val="en-US" w:eastAsia="zh-CN"/>
              </w:rPr>
              <w:t>%</w:t>
            </w:r>
            <w:r>
              <w:rPr>
                <w:rFonts w:hint="eastAsia" w:ascii="仿宋_GB2312" w:hAnsi="仿宋_GB2312" w:eastAsia="仿宋_GB2312" w:cs="仿宋_GB2312"/>
                <w:color w:val="000000"/>
                <w:sz w:val="22"/>
                <w:szCs w:val="31"/>
                <w:highlight w:val="none"/>
                <w:lang w:eastAsia="zh-CN"/>
              </w:rPr>
              <w:t>）</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autoSpaceDE w:val="0"/>
              <w:autoSpaceDN w:val="0"/>
              <w:adjustRightInd w:val="0"/>
              <w:snapToGrid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z w:val="22"/>
                <w:szCs w:val="31"/>
                <w:highlight w:val="none"/>
                <w:lang w:eastAsia="zh-CN"/>
              </w:rPr>
              <w:t>达</w:t>
            </w:r>
            <w:r>
              <w:rPr>
                <w:rFonts w:hint="eastAsia" w:ascii="仿宋_GB2312" w:hAnsi="仿宋_GB2312" w:eastAsia="仿宋_GB2312" w:cs="仿宋_GB2312"/>
                <w:color w:val="000000"/>
                <w:sz w:val="22"/>
                <w:szCs w:val="31"/>
                <w:highlight w:val="none"/>
                <w:lang w:val="en-US" w:eastAsia="zh-CN"/>
              </w:rPr>
              <w:t>32</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autoSpaceDE w:val="0"/>
              <w:autoSpaceDN w:val="0"/>
              <w:adjustRightInd w:val="0"/>
              <w:snapToGrid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z w:val="22"/>
                <w:szCs w:val="31"/>
                <w:highlight w:val="none"/>
              </w:rPr>
              <w:t>3</w:t>
            </w:r>
            <w:r>
              <w:rPr>
                <w:rFonts w:hint="eastAsia" w:ascii="仿宋_GB2312" w:hAnsi="仿宋_GB2312" w:eastAsia="仿宋_GB2312" w:cs="仿宋_GB2312"/>
                <w:color w:val="000000"/>
                <w:sz w:val="22"/>
                <w:szCs w:val="31"/>
                <w:highlight w:val="none"/>
                <w:lang w:val="en-US" w:eastAsia="zh-CN"/>
              </w:rPr>
              <w:t>6</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autoSpaceDE w:val="0"/>
              <w:autoSpaceDN w:val="0"/>
              <w:adjustRightInd w:val="0"/>
              <w:snapToGrid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z w:val="22"/>
                <w:szCs w:val="31"/>
                <w:highlight w:val="none"/>
                <w:lang w:val="en-US" w:eastAsia="zh-CN"/>
              </w:rPr>
              <w:t>38</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预期性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市交通运输局等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top"/>
          </w:tcPr>
          <w:p>
            <w:pPr>
              <w:keepNext w:val="0"/>
              <w:keepLines w:val="0"/>
              <w:suppressLineNumbers w:val="0"/>
              <w:spacing w:before="0" w:beforeAutospacing="0" w:after="0" w:afterAutospacing="0"/>
              <w:ind w:left="0" w:right="0"/>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rPr>
              <w:t>21</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pStyle w:val="3"/>
              <w:keepNext w:val="0"/>
              <w:keepLines w:val="0"/>
              <w:suppressLineNumbers w:val="0"/>
              <w:spacing w:before="0" w:beforeAutospacing="0" w:afterAutospacing="0"/>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新增汽车中新能源汽车占比</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≥50%</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稳步提高</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稳步提高</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sz w:val="22"/>
                <w:szCs w:val="22"/>
                <w:highlight w:val="none"/>
              </w:rPr>
              <w:t>预期性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default"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eastAsia="zh-CN"/>
              </w:rPr>
              <w:t>市</w:t>
            </w:r>
            <w:r>
              <w:rPr>
                <w:rFonts w:hint="eastAsia" w:ascii="仿宋_GB2312" w:hAnsi="仿宋_GB2312" w:eastAsia="仿宋_GB2312" w:cs="仿宋_GB2312"/>
                <w:color w:val="000000"/>
                <w:sz w:val="22"/>
                <w:szCs w:val="22"/>
                <w:highlight w:val="none"/>
                <w:lang w:val="en-US" w:eastAsia="zh-CN"/>
              </w:rPr>
              <w:t>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
                <w:bCs/>
                <w:color w:val="000000"/>
                <w:sz w:val="22"/>
                <w:szCs w:val="31"/>
                <w:highlight w:val="none"/>
              </w:rPr>
            </w:pPr>
            <w:r>
              <w:rPr>
                <w:rFonts w:hint="eastAsia" w:ascii="仿宋_GB2312" w:hAnsi="仿宋_GB2312" w:eastAsia="仿宋_GB2312" w:cs="仿宋_GB2312"/>
                <w:b/>
                <w:bCs/>
                <w:color w:val="000000"/>
                <w:sz w:val="22"/>
                <w:szCs w:val="31"/>
                <w:highlight w:val="none"/>
              </w:rPr>
              <w:t>美丽</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r>
              <w:rPr>
                <w:rFonts w:hint="eastAsia" w:ascii="仿宋_GB2312" w:hAnsi="仿宋_GB2312" w:eastAsia="仿宋_GB2312" w:cs="仿宋_GB2312"/>
                <w:b/>
                <w:bCs/>
                <w:color w:val="000000"/>
                <w:sz w:val="22"/>
                <w:szCs w:val="31"/>
                <w:highlight w:val="none"/>
              </w:rPr>
              <w:t>乡村</w:t>
            </w: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rPr>
              <w:t>22</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pStyle w:val="3"/>
              <w:keepNext w:val="0"/>
              <w:keepLines w:val="0"/>
              <w:suppressLineNumbers w:val="0"/>
              <w:spacing w:before="0" w:beforeAutospacing="0" w:afterAutospacing="0"/>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美丽乡村整县</w:t>
            </w:r>
          </w:p>
          <w:p>
            <w:pPr>
              <w:pStyle w:val="3"/>
              <w:keepNext w:val="0"/>
              <w:keepLines w:val="0"/>
              <w:suppressLineNumbers w:val="0"/>
              <w:spacing w:before="0" w:beforeAutospacing="0" w:afterAutospacing="0"/>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建成比例</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≥50%</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基本建成</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全面建成</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约束性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color w:val="000000"/>
                <w:sz w:val="22"/>
                <w:szCs w:val="22"/>
                <w:highlight w:val="none"/>
                <w:lang w:eastAsia="zh-CN"/>
              </w:rPr>
              <w:t>市生态环境局、市水利局、</w:t>
            </w:r>
          </w:p>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rPr>
              <w:t>23</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农村自来水普及率（%）</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90</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93</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95</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约束性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rPr>
              <w:t>24</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sz w:val="22"/>
                <w:szCs w:val="22"/>
                <w:highlight w:val="none"/>
              </w:rPr>
              <w:t>农村生活污水治理率（%）</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autoSpaceDN w:val="0"/>
              <w:spacing w:before="40" w:beforeAutospacing="0" w:after="40" w:afterAutospacing="0" w:line="220" w:lineRule="atLeas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pacing w:val="-20"/>
                <w:sz w:val="22"/>
                <w:highlight w:val="none"/>
              </w:rPr>
              <w:t>≥</w:t>
            </w:r>
            <w:r>
              <w:rPr>
                <w:rFonts w:hint="eastAsia" w:ascii="仿宋_GB2312" w:hAnsi="仿宋_GB2312" w:eastAsia="仿宋_GB2312" w:cs="仿宋_GB2312"/>
                <w:color w:val="000000"/>
                <w:sz w:val="22"/>
                <w:highlight w:val="none"/>
              </w:rPr>
              <w:t>75</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autoSpaceDN w:val="0"/>
              <w:spacing w:before="40" w:beforeAutospacing="0" w:after="40" w:afterAutospacing="0" w:line="220" w:lineRule="atLeas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z w:val="22"/>
                <w:highlight w:val="none"/>
              </w:rPr>
              <w:t>80</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bCs/>
                <w:color w:val="000000"/>
                <w:kern w:val="0"/>
                <w:sz w:val="22"/>
                <w:szCs w:val="22"/>
                <w:highlight w:val="none"/>
              </w:rPr>
              <w:t>全面有效治理</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rPr>
              <w:t>约束性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rPr>
              <w:t>25</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农村生活垃圾处理</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pacing w:val="-6"/>
                <w:kern w:val="0"/>
                <w:sz w:val="22"/>
                <w:szCs w:val="22"/>
                <w:highlight w:val="none"/>
              </w:rPr>
              <w:t>有机垃圾基本得到生态处理</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bCs/>
                <w:color w:val="000000"/>
                <w:kern w:val="0"/>
                <w:sz w:val="22"/>
                <w:szCs w:val="22"/>
                <w:highlight w:val="none"/>
              </w:rPr>
              <w:t>生活垃圾逐步实现分类收集处理</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z w:val="22"/>
                <w:szCs w:val="22"/>
                <w:highlight w:val="none"/>
              </w:rPr>
              <w:t>原生生活垃圾“零填埋”</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预期性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rPr>
              <w:t>2</w:t>
            </w:r>
            <w:r>
              <w:rPr>
                <w:rFonts w:hint="eastAsia" w:ascii="仿宋_GB2312" w:hAnsi="仿宋_GB2312" w:eastAsia="仿宋_GB2312" w:cs="仿宋_GB2312"/>
                <w:b/>
                <w:color w:val="000000"/>
                <w:sz w:val="22"/>
                <w:szCs w:val="31"/>
                <w:highlight w:val="none"/>
                <w:lang w:val="en-US" w:eastAsia="zh-CN"/>
              </w:rPr>
              <w:t>6</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主要农作物化肥</w:t>
            </w:r>
            <w:r>
              <w:rPr>
                <w:rFonts w:hint="eastAsia" w:ascii="仿宋_GB2312" w:hAnsi="仿宋_GB2312" w:eastAsia="仿宋_GB2312" w:cs="仿宋_GB2312"/>
                <w:color w:val="000000"/>
                <w:sz w:val="22"/>
                <w:szCs w:val="22"/>
                <w:highlight w:val="none"/>
                <w:lang w:val="en-US" w:eastAsia="zh-CN"/>
              </w:rPr>
              <w:t>减量</w:t>
            </w:r>
            <w:r>
              <w:rPr>
                <w:rFonts w:hint="eastAsia" w:ascii="仿宋_GB2312" w:hAnsi="仿宋_GB2312" w:eastAsia="仿宋_GB2312" w:cs="仿宋_GB2312"/>
                <w:color w:val="000000"/>
                <w:sz w:val="22"/>
                <w:szCs w:val="22"/>
                <w:highlight w:val="none"/>
              </w:rPr>
              <w:t>（%）</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Lines="0" w:beforeAutospacing="0" w:after="40" w:afterLines="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z w:val="22"/>
                <w:szCs w:val="22"/>
                <w:highlight w:val="none"/>
              </w:rPr>
              <w:t>完成</w:t>
            </w:r>
            <w:r>
              <w:rPr>
                <w:rFonts w:hint="eastAsia" w:ascii="仿宋_GB2312" w:hAnsi="仿宋_GB2312" w:eastAsia="仿宋_GB2312" w:cs="仿宋_GB2312"/>
                <w:color w:val="000000"/>
                <w:sz w:val="22"/>
                <w:szCs w:val="22"/>
                <w:highlight w:val="none"/>
                <w:lang w:val="en-US" w:eastAsia="zh-CN"/>
              </w:rPr>
              <w:t>省</w:t>
            </w:r>
            <w:r>
              <w:rPr>
                <w:rFonts w:hint="eastAsia" w:ascii="仿宋_GB2312" w:hAnsi="仿宋_GB2312" w:cs="仿宋_GB2312"/>
                <w:color w:val="000000"/>
                <w:sz w:val="22"/>
                <w:szCs w:val="22"/>
                <w:highlight w:val="none"/>
                <w:lang w:val="en-US" w:eastAsia="zh-CN"/>
              </w:rPr>
              <w:t>农业农村厅</w:t>
            </w:r>
            <w:r>
              <w:rPr>
                <w:rFonts w:hint="eastAsia" w:ascii="仿宋_GB2312" w:hAnsi="仿宋_GB2312" w:eastAsia="仿宋_GB2312" w:cs="仿宋_GB2312"/>
                <w:color w:val="000000"/>
                <w:sz w:val="22"/>
                <w:szCs w:val="22"/>
                <w:highlight w:val="none"/>
              </w:rPr>
              <w:t>下达指标</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Lines="0" w:beforeAutospacing="0" w:after="40" w:afterLines="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z w:val="22"/>
                <w:szCs w:val="22"/>
                <w:highlight w:val="none"/>
              </w:rPr>
              <w:t>完成</w:t>
            </w:r>
            <w:r>
              <w:rPr>
                <w:rFonts w:hint="eastAsia" w:ascii="仿宋_GB2312" w:hAnsi="仿宋_GB2312" w:eastAsia="仿宋_GB2312" w:cs="仿宋_GB2312"/>
                <w:color w:val="000000"/>
                <w:sz w:val="22"/>
                <w:szCs w:val="22"/>
                <w:highlight w:val="none"/>
                <w:lang w:val="en-US" w:eastAsia="zh-CN"/>
              </w:rPr>
              <w:t>省</w:t>
            </w:r>
            <w:r>
              <w:rPr>
                <w:rFonts w:hint="eastAsia" w:ascii="仿宋_GB2312" w:hAnsi="仿宋_GB2312" w:cs="仿宋_GB2312"/>
                <w:color w:val="000000"/>
                <w:sz w:val="22"/>
                <w:szCs w:val="22"/>
                <w:highlight w:val="none"/>
                <w:lang w:val="en-US" w:eastAsia="zh-CN"/>
              </w:rPr>
              <w:t>农业农村厅</w:t>
            </w:r>
            <w:r>
              <w:rPr>
                <w:rFonts w:hint="eastAsia" w:ascii="仿宋_GB2312" w:hAnsi="仿宋_GB2312" w:eastAsia="仿宋_GB2312" w:cs="仿宋_GB2312"/>
                <w:color w:val="000000"/>
                <w:sz w:val="22"/>
                <w:szCs w:val="22"/>
                <w:highlight w:val="none"/>
              </w:rPr>
              <w:t>下达指标</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Lines="0" w:beforeAutospacing="0" w:after="40" w:afterLines="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z w:val="22"/>
                <w:szCs w:val="22"/>
                <w:highlight w:val="none"/>
              </w:rPr>
              <w:t>完成</w:t>
            </w:r>
            <w:r>
              <w:rPr>
                <w:rFonts w:hint="eastAsia" w:ascii="仿宋_GB2312" w:hAnsi="仿宋_GB2312" w:eastAsia="仿宋_GB2312" w:cs="仿宋_GB2312"/>
                <w:color w:val="000000"/>
                <w:sz w:val="22"/>
                <w:szCs w:val="22"/>
                <w:highlight w:val="none"/>
                <w:lang w:val="en-US" w:eastAsia="zh-CN"/>
              </w:rPr>
              <w:t>省</w:t>
            </w:r>
            <w:r>
              <w:rPr>
                <w:rFonts w:hint="eastAsia" w:ascii="仿宋_GB2312" w:hAnsi="仿宋_GB2312" w:cs="仿宋_GB2312"/>
                <w:color w:val="000000"/>
                <w:sz w:val="22"/>
                <w:szCs w:val="22"/>
                <w:highlight w:val="none"/>
                <w:lang w:val="en-US" w:eastAsia="zh-CN"/>
              </w:rPr>
              <w:t>农业农村厅</w:t>
            </w:r>
            <w:r>
              <w:rPr>
                <w:rFonts w:hint="eastAsia" w:ascii="仿宋_GB2312" w:hAnsi="仿宋_GB2312" w:eastAsia="仿宋_GB2312" w:cs="仿宋_GB2312"/>
                <w:color w:val="000000"/>
                <w:sz w:val="22"/>
                <w:szCs w:val="22"/>
                <w:highlight w:val="none"/>
              </w:rPr>
              <w:t>下达指标</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0"/>
                <w:sz w:val="22"/>
                <w:szCs w:val="22"/>
                <w:highlight w:val="none"/>
              </w:rPr>
              <w:t>预期性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rPr>
              <w:t>2</w:t>
            </w:r>
            <w:r>
              <w:rPr>
                <w:rFonts w:hint="eastAsia" w:ascii="仿宋_GB2312" w:hAnsi="仿宋_GB2312" w:eastAsia="仿宋_GB2312" w:cs="仿宋_GB2312"/>
                <w:b/>
                <w:color w:val="000000"/>
                <w:sz w:val="22"/>
                <w:szCs w:val="31"/>
                <w:highlight w:val="none"/>
                <w:lang w:val="en-US" w:eastAsia="zh-CN"/>
              </w:rPr>
              <w:t>7</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主要农作物农药</w:t>
            </w:r>
            <w:r>
              <w:rPr>
                <w:rFonts w:hint="eastAsia" w:ascii="仿宋_GB2312" w:hAnsi="仿宋_GB2312" w:eastAsia="仿宋_GB2312" w:cs="仿宋_GB2312"/>
                <w:color w:val="000000"/>
                <w:sz w:val="22"/>
                <w:szCs w:val="22"/>
                <w:highlight w:val="none"/>
                <w:lang w:val="en-US" w:eastAsia="zh-CN"/>
              </w:rPr>
              <w:t>减量</w:t>
            </w:r>
            <w:r>
              <w:rPr>
                <w:rFonts w:hint="eastAsia" w:ascii="仿宋_GB2312" w:hAnsi="仿宋_GB2312" w:eastAsia="仿宋_GB2312" w:cs="仿宋_GB2312"/>
                <w:color w:val="000000"/>
                <w:sz w:val="22"/>
                <w:szCs w:val="22"/>
                <w:highlight w:val="none"/>
              </w:rPr>
              <w:t>（%）</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Lines="0" w:beforeAutospacing="0" w:after="40" w:afterLines="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z w:val="22"/>
                <w:szCs w:val="22"/>
                <w:highlight w:val="none"/>
              </w:rPr>
              <w:t>完成</w:t>
            </w:r>
            <w:r>
              <w:rPr>
                <w:rFonts w:hint="eastAsia" w:ascii="仿宋_GB2312" w:hAnsi="仿宋_GB2312" w:eastAsia="仿宋_GB2312" w:cs="仿宋_GB2312"/>
                <w:color w:val="000000"/>
                <w:sz w:val="22"/>
                <w:szCs w:val="22"/>
                <w:highlight w:val="none"/>
                <w:lang w:val="en-US" w:eastAsia="zh-CN"/>
              </w:rPr>
              <w:t>省</w:t>
            </w:r>
            <w:r>
              <w:rPr>
                <w:rFonts w:hint="eastAsia" w:ascii="仿宋_GB2312" w:hAnsi="仿宋_GB2312" w:cs="仿宋_GB2312"/>
                <w:color w:val="000000"/>
                <w:sz w:val="22"/>
                <w:szCs w:val="22"/>
                <w:highlight w:val="none"/>
                <w:lang w:val="en-US" w:eastAsia="zh-CN"/>
              </w:rPr>
              <w:t>农业农村厅</w:t>
            </w:r>
            <w:r>
              <w:rPr>
                <w:rFonts w:hint="eastAsia" w:ascii="仿宋_GB2312" w:hAnsi="仿宋_GB2312" w:eastAsia="仿宋_GB2312" w:cs="仿宋_GB2312"/>
                <w:color w:val="000000"/>
                <w:sz w:val="22"/>
                <w:szCs w:val="22"/>
                <w:highlight w:val="none"/>
              </w:rPr>
              <w:t>下达指标</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Lines="0" w:beforeAutospacing="0" w:after="40" w:afterLines="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z w:val="22"/>
                <w:szCs w:val="22"/>
                <w:highlight w:val="none"/>
              </w:rPr>
              <w:t>完成</w:t>
            </w:r>
            <w:r>
              <w:rPr>
                <w:rFonts w:hint="eastAsia" w:ascii="仿宋_GB2312" w:hAnsi="仿宋_GB2312" w:eastAsia="仿宋_GB2312" w:cs="仿宋_GB2312"/>
                <w:color w:val="000000"/>
                <w:sz w:val="22"/>
                <w:szCs w:val="22"/>
                <w:highlight w:val="none"/>
                <w:lang w:val="en-US" w:eastAsia="zh-CN"/>
              </w:rPr>
              <w:t>省</w:t>
            </w:r>
            <w:r>
              <w:rPr>
                <w:rFonts w:hint="eastAsia" w:ascii="仿宋_GB2312" w:hAnsi="仿宋_GB2312" w:cs="仿宋_GB2312"/>
                <w:color w:val="000000"/>
                <w:sz w:val="22"/>
                <w:szCs w:val="22"/>
                <w:highlight w:val="none"/>
                <w:lang w:val="en-US" w:eastAsia="zh-CN"/>
              </w:rPr>
              <w:t>农业农村厅</w:t>
            </w:r>
            <w:r>
              <w:rPr>
                <w:rFonts w:hint="eastAsia" w:ascii="仿宋_GB2312" w:hAnsi="仿宋_GB2312" w:eastAsia="仿宋_GB2312" w:cs="仿宋_GB2312"/>
                <w:color w:val="000000"/>
                <w:sz w:val="22"/>
                <w:szCs w:val="22"/>
                <w:highlight w:val="none"/>
              </w:rPr>
              <w:t>下达指标</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Lines="0" w:beforeAutospacing="0" w:after="40" w:afterLines="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z w:val="22"/>
                <w:szCs w:val="22"/>
                <w:highlight w:val="none"/>
              </w:rPr>
              <w:t>完成</w:t>
            </w:r>
            <w:r>
              <w:rPr>
                <w:rFonts w:hint="eastAsia" w:ascii="仿宋_GB2312" w:hAnsi="仿宋_GB2312" w:eastAsia="仿宋_GB2312" w:cs="仿宋_GB2312"/>
                <w:color w:val="000000"/>
                <w:sz w:val="22"/>
                <w:szCs w:val="22"/>
                <w:highlight w:val="none"/>
                <w:lang w:val="en-US" w:eastAsia="zh-CN"/>
              </w:rPr>
              <w:t>省</w:t>
            </w:r>
            <w:r>
              <w:rPr>
                <w:rFonts w:hint="eastAsia" w:ascii="仿宋_GB2312" w:hAnsi="仿宋_GB2312" w:cs="仿宋_GB2312"/>
                <w:color w:val="000000"/>
                <w:sz w:val="22"/>
                <w:szCs w:val="22"/>
                <w:highlight w:val="none"/>
                <w:lang w:val="en-US" w:eastAsia="zh-CN"/>
              </w:rPr>
              <w:t>农业农村厅</w:t>
            </w:r>
            <w:r>
              <w:rPr>
                <w:rFonts w:hint="eastAsia" w:ascii="仿宋_GB2312" w:hAnsi="仿宋_GB2312" w:eastAsia="仿宋_GB2312" w:cs="仿宋_GB2312"/>
                <w:color w:val="000000"/>
                <w:sz w:val="22"/>
                <w:szCs w:val="22"/>
                <w:highlight w:val="none"/>
              </w:rPr>
              <w:t>下达指标</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0"/>
                <w:sz w:val="22"/>
                <w:szCs w:val="22"/>
                <w:highlight w:val="none"/>
              </w:rPr>
              <w:t>预期性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rPr>
              <w:t>2</w:t>
            </w:r>
            <w:r>
              <w:rPr>
                <w:rFonts w:hint="eastAsia" w:ascii="仿宋_GB2312" w:hAnsi="仿宋_GB2312" w:eastAsia="仿宋_GB2312" w:cs="仿宋_GB2312"/>
                <w:b/>
                <w:color w:val="000000"/>
                <w:sz w:val="22"/>
                <w:szCs w:val="31"/>
                <w:highlight w:val="none"/>
                <w:lang w:val="en-US" w:eastAsia="zh-CN"/>
              </w:rPr>
              <w:t>8</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受污染耕地安全利用率（%）</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default"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≥93</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default"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≥93</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default"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≥95</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约束性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0"/>
                <w:sz w:val="22"/>
                <w:szCs w:val="22"/>
                <w:highlight w:val="none"/>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
                <w:bCs/>
                <w:color w:val="000000"/>
                <w:sz w:val="22"/>
                <w:szCs w:val="31"/>
                <w:highlight w:val="none"/>
              </w:rPr>
            </w:pPr>
            <w:r>
              <w:rPr>
                <w:rFonts w:hint="eastAsia" w:ascii="仿宋_GB2312" w:hAnsi="仿宋_GB2312" w:eastAsia="仿宋_GB2312" w:cs="仿宋_GB2312"/>
                <w:b/>
                <w:bCs/>
                <w:color w:val="000000"/>
                <w:sz w:val="22"/>
                <w:szCs w:val="31"/>
                <w:highlight w:val="none"/>
              </w:rPr>
              <w:t>美丽</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r>
              <w:rPr>
                <w:rFonts w:hint="eastAsia" w:ascii="仿宋_GB2312" w:hAnsi="仿宋_GB2312" w:eastAsia="仿宋_GB2312" w:cs="仿宋_GB2312"/>
                <w:b/>
                <w:bCs/>
                <w:color w:val="000000"/>
                <w:sz w:val="22"/>
                <w:szCs w:val="31"/>
                <w:highlight w:val="none"/>
              </w:rPr>
              <w:t>河湖</w:t>
            </w: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default" w:ascii="仿宋_GB2312" w:hAnsi="仿宋_GB2312" w:eastAsia="仿宋_GB2312" w:cs="仿宋_GB2312"/>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lang w:val="en-US" w:eastAsia="zh-CN"/>
              </w:rPr>
              <w:t>29</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pStyle w:val="3"/>
              <w:keepNext w:val="0"/>
              <w:keepLines w:val="0"/>
              <w:suppressLineNumbers w:val="0"/>
              <w:spacing w:before="0" w:beforeAutospacing="0" w:afterAutospacing="0"/>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美丽河湖建成率</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≥50%</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基本建成</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全面建成</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约束性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sz w:val="22"/>
                <w:szCs w:val="22"/>
                <w:highlight w:val="none"/>
                <w:lang w:eastAsia="zh-CN"/>
              </w:rPr>
              <w:t>市生态环境局、</w:t>
            </w:r>
            <w:r>
              <w:rPr>
                <w:rFonts w:hint="eastAsia" w:ascii="仿宋_GB2312" w:hAnsi="仿宋_GB2312" w:eastAsia="仿宋_GB2312" w:cs="仿宋_GB2312"/>
                <w:color w:val="000000"/>
                <w:sz w:val="22"/>
                <w:szCs w:val="22"/>
                <w:highlight w:val="none"/>
                <w:lang w:val="en-US" w:eastAsia="zh-CN"/>
              </w:rPr>
              <w:t>市</w:t>
            </w:r>
            <w:r>
              <w:rPr>
                <w:rFonts w:hint="eastAsia" w:ascii="仿宋_GB2312" w:hAnsi="仿宋_GB2312" w:eastAsia="仿宋_GB2312" w:cs="仿宋_GB2312"/>
                <w:color w:val="000000"/>
                <w:kern w:val="0"/>
                <w:sz w:val="22"/>
                <w:szCs w:val="22"/>
                <w:highlight w:val="none"/>
                <w:lang w:val="en-US" w:eastAsia="zh-CN"/>
              </w:rPr>
              <w:t>海洋渔业局、</w:t>
            </w:r>
          </w:p>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color w:val="000000"/>
                <w:sz w:val="22"/>
                <w:szCs w:val="22"/>
                <w:highlight w:val="none"/>
                <w:lang w:eastAsia="zh-CN"/>
              </w:rPr>
              <w:t>市水利局、</w:t>
            </w:r>
          </w:p>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000000"/>
                <w:sz w:val="22"/>
                <w:szCs w:val="31"/>
                <w:highlight w:val="none"/>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default" w:ascii="仿宋_GB2312" w:hAnsi="仿宋_GB2312" w:eastAsia="仿宋_GB2312" w:cs="仿宋_GB2312"/>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lang w:val="en-US" w:eastAsia="zh-CN"/>
              </w:rPr>
              <w:t>30</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地表水I—Ⅱ类水质比例（%）</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60</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65</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70</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预期性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000000"/>
                <w:sz w:val="22"/>
                <w:szCs w:val="31"/>
                <w:highlight w:val="none"/>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default" w:ascii="仿宋_GB2312" w:hAnsi="仿宋_GB2312" w:eastAsia="仿宋_GB2312" w:cs="仿宋_GB2312"/>
                <w:b/>
                <w:color w:val="000000"/>
                <w:sz w:val="22"/>
                <w:szCs w:val="31"/>
                <w:highlight w:val="none"/>
                <w:lang w:val="en-US" w:eastAsia="zh-CN"/>
              </w:rPr>
            </w:pPr>
            <w:r>
              <w:rPr>
                <w:rFonts w:hint="eastAsia" w:ascii="仿宋_GB2312" w:hAnsi="仿宋_GB2312" w:eastAsia="仿宋_GB2312" w:cs="仿宋_GB2312"/>
                <w:b/>
                <w:color w:val="000000"/>
                <w:sz w:val="22"/>
                <w:szCs w:val="31"/>
                <w:highlight w:val="none"/>
                <w:lang w:val="en-US" w:eastAsia="zh-CN"/>
              </w:rPr>
              <w:t>31</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pStyle w:val="3"/>
              <w:keepNext w:val="0"/>
              <w:keepLines w:val="0"/>
              <w:suppressLineNumbers w:val="0"/>
              <w:spacing w:before="0" w:beforeAutospacing="0" w:afterAutospacing="0"/>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地下水国控点位I-Ⅳ类水比例</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≥80</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逐步改善</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稳步提高</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预期性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color w:val="000000"/>
                <w:sz w:val="22"/>
                <w:szCs w:val="22"/>
                <w:highlight w:val="none"/>
                <w:lang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default" w:ascii="仿宋_GB2312" w:hAnsi="仿宋_GB2312" w:eastAsia="仿宋_GB2312" w:cs="仿宋_GB2312"/>
                <w:b/>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lang w:val="en-US" w:eastAsia="zh-CN"/>
              </w:rPr>
              <w:t>32</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黑臭水体数量</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val="en-US" w:eastAsia="zh-CN"/>
              </w:rPr>
            </w:pPr>
            <w:r>
              <w:rPr>
                <w:rFonts w:hint="eastAsia" w:ascii="仿宋_GB2312" w:hAnsi="仿宋_GB2312" w:eastAsia="仿宋_GB2312" w:cs="仿宋_GB2312"/>
                <w:color w:val="000000"/>
                <w:spacing w:val="-6"/>
                <w:kern w:val="0"/>
                <w:sz w:val="22"/>
                <w:szCs w:val="22"/>
                <w:highlight w:val="none"/>
              </w:rPr>
              <w:t>建成区</w:t>
            </w:r>
            <w:r>
              <w:rPr>
                <w:rFonts w:hint="eastAsia" w:ascii="仿宋_GB2312" w:hAnsi="仿宋_GB2312" w:eastAsia="仿宋_GB2312" w:cs="仿宋_GB2312"/>
                <w:color w:val="000000"/>
                <w:spacing w:val="-6"/>
                <w:kern w:val="0"/>
                <w:sz w:val="22"/>
                <w:szCs w:val="22"/>
                <w:highlight w:val="none"/>
                <w:lang w:val="en-US" w:eastAsia="zh-CN"/>
              </w:rPr>
              <w:t>消除黑臭水体实现长治久清</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kern w:val="0"/>
                <w:sz w:val="22"/>
                <w:szCs w:val="22"/>
                <w:highlight w:val="none"/>
              </w:rPr>
              <w:t>乡村基本消除黑臭水体</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z w:val="22"/>
                <w:szCs w:val="22"/>
                <w:highlight w:val="none"/>
              </w:rPr>
              <w:t>持续巩固</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约束性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lang w:eastAsia="zh-CN"/>
              </w:rPr>
              <w:t>市住建局</w:t>
            </w:r>
            <w:r>
              <w:rPr>
                <w:rFonts w:hint="eastAsia" w:ascii="仿宋_GB2312" w:hAnsi="仿宋_GB2312" w:eastAsia="仿宋_GB2312" w:cs="仿宋_GB2312"/>
                <w:color w:val="000000"/>
                <w:sz w:val="22"/>
                <w:szCs w:val="22"/>
                <w:highlight w:val="none"/>
              </w:rPr>
              <w:t>、</w:t>
            </w:r>
          </w:p>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default" w:ascii="仿宋_GB2312" w:hAnsi="仿宋_GB2312" w:eastAsia="仿宋_GB2312" w:cs="仿宋_GB2312"/>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lang w:val="en-US" w:eastAsia="zh-CN"/>
              </w:rPr>
              <w:t>33</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重要河湖生态需水满足率（%）</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pacing w:val="-6"/>
                <w:kern w:val="0"/>
                <w:sz w:val="22"/>
                <w:szCs w:val="22"/>
                <w:highlight w:val="none"/>
              </w:rPr>
              <w:t>≥75</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kern w:val="0"/>
                <w:sz w:val="22"/>
                <w:szCs w:val="22"/>
                <w:highlight w:val="none"/>
              </w:rPr>
              <w:t>≥85</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kern w:val="0"/>
                <w:sz w:val="22"/>
                <w:szCs w:val="22"/>
                <w:highlight w:val="none"/>
              </w:rPr>
              <w:t>≥90</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预期性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default" w:ascii="仿宋_GB2312" w:hAnsi="仿宋_GB2312" w:eastAsia="仿宋_GB2312" w:cs="仿宋_GB2312"/>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lang w:val="en-US" w:eastAsia="zh-CN"/>
              </w:rPr>
              <w:t>34</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重现土著鱼类或水生植物的健康水体数量</w:t>
            </w:r>
          </w:p>
        </w:tc>
        <w:tc>
          <w:tcPr>
            <w:tcW w:w="3236" w:type="dxa"/>
            <w:gridSpan w:val="3"/>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z w:val="22"/>
                <w:szCs w:val="22"/>
                <w:highlight w:val="none"/>
              </w:rPr>
              <w:t>逐步增加</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预期性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eastAsia="zh-CN"/>
              </w:rPr>
              <w:t>市生态环境局、</w:t>
            </w:r>
            <w:r>
              <w:rPr>
                <w:rFonts w:hint="eastAsia" w:ascii="仿宋_GB2312" w:hAnsi="仿宋_GB2312" w:eastAsia="仿宋_GB2312" w:cs="仿宋_GB2312"/>
                <w:color w:val="000000"/>
                <w:kern w:val="0"/>
                <w:sz w:val="22"/>
                <w:szCs w:val="22"/>
                <w:highlight w:val="none"/>
                <w:lang w:val="en-US" w:eastAsia="zh-CN"/>
              </w:rPr>
              <w:t>市海洋渔业局等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
                <w:bCs/>
                <w:color w:val="000000"/>
                <w:sz w:val="22"/>
                <w:szCs w:val="31"/>
                <w:highlight w:val="none"/>
              </w:rPr>
            </w:pPr>
            <w:r>
              <w:rPr>
                <w:rFonts w:hint="eastAsia" w:ascii="仿宋_GB2312" w:hAnsi="仿宋_GB2312" w:eastAsia="仿宋_GB2312" w:cs="仿宋_GB2312"/>
                <w:b/>
                <w:bCs/>
                <w:color w:val="000000"/>
                <w:sz w:val="22"/>
                <w:szCs w:val="31"/>
                <w:highlight w:val="none"/>
              </w:rPr>
              <w:t>美丽</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r>
              <w:rPr>
                <w:rFonts w:hint="eastAsia" w:ascii="仿宋_GB2312" w:hAnsi="仿宋_GB2312" w:eastAsia="仿宋_GB2312" w:cs="仿宋_GB2312"/>
                <w:b/>
                <w:bCs/>
                <w:color w:val="000000"/>
                <w:sz w:val="22"/>
                <w:szCs w:val="31"/>
                <w:highlight w:val="none"/>
              </w:rPr>
              <w:t>海湾</w:t>
            </w: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default" w:ascii="仿宋_GB2312" w:hAnsi="仿宋_GB2312" w:eastAsia="仿宋_GB2312" w:cs="仿宋_GB2312"/>
                <w:b/>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lang w:val="en-US" w:eastAsia="zh-CN"/>
              </w:rPr>
              <w:t>35</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pStyle w:val="3"/>
              <w:keepNext w:val="0"/>
              <w:keepLines w:val="0"/>
              <w:suppressLineNumbers w:val="0"/>
              <w:spacing w:before="0" w:beforeAutospacing="0" w:afterAutospacing="0"/>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美丽海湾建成率</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≥50%</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基本建成</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全面建成</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约束性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市生态环境局、</w:t>
            </w:r>
            <w:r>
              <w:rPr>
                <w:rFonts w:hint="eastAsia" w:ascii="仿宋_GB2312" w:hAnsi="仿宋_GB2312" w:eastAsia="仿宋_GB2312" w:cs="仿宋_GB2312"/>
                <w:color w:val="000000"/>
                <w:sz w:val="22"/>
                <w:szCs w:val="22"/>
                <w:highlight w:val="none"/>
                <w:lang w:val="en-US" w:eastAsia="zh-CN"/>
              </w:rPr>
              <w:t>市</w:t>
            </w:r>
            <w:r>
              <w:rPr>
                <w:rFonts w:hint="eastAsia" w:ascii="仿宋_GB2312" w:hAnsi="仿宋_GB2312" w:eastAsia="仿宋_GB2312" w:cs="仿宋_GB2312"/>
                <w:color w:val="000000"/>
                <w:sz w:val="22"/>
                <w:szCs w:val="22"/>
                <w:highlight w:val="none"/>
                <w:lang w:eastAsia="zh-CN"/>
              </w:rPr>
              <w:t>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000000"/>
                <w:sz w:val="22"/>
                <w:szCs w:val="31"/>
                <w:highlight w:val="none"/>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default" w:ascii="仿宋_GB2312" w:hAnsi="仿宋_GB2312" w:eastAsia="仿宋_GB2312" w:cs="仿宋_GB2312"/>
                <w:b/>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lang w:val="en-US" w:eastAsia="zh-CN"/>
              </w:rPr>
              <w:t>36</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近岸海域一、二类海水水质比例（%）</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w:t>
            </w:r>
            <w:r>
              <w:rPr>
                <w:rFonts w:hint="eastAsia" w:ascii="仿宋_GB2312" w:hAnsi="仿宋_GB2312" w:eastAsia="仿宋_GB2312" w:cs="仿宋_GB2312"/>
                <w:color w:val="000000"/>
                <w:kern w:val="0"/>
                <w:sz w:val="22"/>
                <w:szCs w:val="22"/>
                <w:highlight w:val="none"/>
                <w:lang w:val="en-US" w:eastAsia="zh-CN"/>
              </w:rPr>
              <w:t>90.9</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w:t>
            </w:r>
            <w:r>
              <w:rPr>
                <w:rFonts w:hint="eastAsia" w:ascii="仿宋_GB2312" w:hAnsi="仿宋_GB2312" w:eastAsia="仿宋_GB2312" w:cs="仿宋_GB2312"/>
                <w:color w:val="000000"/>
                <w:kern w:val="0"/>
                <w:sz w:val="22"/>
                <w:szCs w:val="22"/>
                <w:highlight w:val="none"/>
                <w:lang w:val="en-US" w:eastAsia="zh-CN"/>
              </w:rPr>
              <w:t>91.8</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w:t>
            </w:r>
            <w:r>
              <w:rPr>
                <w:rFonts w:hint="eastAsia" w:ascii="仿宋_GB2312" w:hAnsi="仿宋_GB2312" w:eastAsia="仿宋_GB2312" w:cs="仿宋_GB2312"/>
                <w:color w:val="000000"/>
                <w:kern w:val="0"/>
                <w:sz w:val="22"/>
                <w:szCs w:val="22"/>
                <w:highlight w:val="none"/>
                <w:lang w:val="en-US" w:eastAsia="zh-CN"/>
              </w:rPr>
              <w:t>92.7</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约束性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
                <w:bCs/>
                <w:color w:val="000000"/>
                <w:sz w:val="22"/>
                <w:szCs w:val="31"/>
                <w:highlight w:val="none"/>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default" w:ascii="仿宋_GB2312" w:hAnsi="仿宋_GB2312" w:eastAsia="仿宋_GB2312" w:cs="仿宋_GB2312"/>
                <w:b/>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lang w:val="en-US" w:eastAsia="zh-CN"/>
              </w:rPr>
              <w:t>37</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0"/>
                <w:sz w:val="22"/>
                <w:szCs w:val="22"/>
                <w:highlight w:val="none"/>
              </w:rPr>
              <w:t>大陆自然岸线保有率（%）</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default" w:ascii="仿宋_GB2312" w:hAnsi="仿宋_GB2312" w:eastAsia="仿宋_GB2312" w:cs="仿宋_GB2312"/>
                <w:color w:val="000000"/>
                <w:spacing w:val="-6"/>
                <w:kern w:val="0"/>
                <w:sz w:val="22"/>
                <w:szCs w:val="22"/>
                <w:highlight w:val="none"/>
                <w:lang w:val="en-US" w:eastAsia="zh-CN"/>
              </w:rPr>
            </w:pPr>
            <w:r>
              <w:rPr>
                <w:rFonts w:hint="eastAsia" w:ascii="仿宋_GB2312" w:hAnsi="仿宋_GB2312" w:eastAsia="仿宋_GB2312" w:cs="仿宋_GB2312"/>
                <w:color w:val="000000"/>
                <w:spacing w:val="-6"/>
                <w:kern w:val="0"/>
                <w:sz w:val="22"/>
                <w:szCs w:val="22"/>
                <w:highlight w:val="none"/>
              </w:rPr>
              <w:t>≥</w:t>
            </w:r>
            <w:r>
              <w:rPr>
                <w:rFonts w:hint="eastAsia" w:ascii="仿宋_GB2312" w:hAnsi="仿宋_GB2312" w:eastAsia="仿宋_GB2312" w:cs="仿宋_GB2312"/>
                <w:color w:val="000000"/>
                <w:spacing w:val="-6"/>
                <w:kern w:val="0"/>
                <w:sz w:val="22"/>
                <w:szCs w:val="22"/>
                <w:highlight w:val="none"/>
                <w:lang w:val="en-US" w:eastAsia="zh-CN"/>
              </w:rPr>
              <w:t>23.28</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default" w:ascii="仿宋_GB2312" w:hAnsi="仿宋_GB2312" w:eastAsia="仿宋_GB2312" w:cs="仿宋_GB2312"/>
                <w:color w:val="000000"/>
                <w:spacing w:val="-6"/>
                <w:kern w:val="0"/>
                <w:sz w:val="22"/>
                <w:szCs w:val="22"/>
                <w:highlight w:val="none"/>
                <w:lang w:val="en-US" w:eastAsia="zh-CN"/>
              </w:rPr>
            </w:pPr>
            <w:r>
              <w:rPr>
                <w:rFonts w:hint="eastAsia" w:ascii="仿宋_GB2312" w:hAnsi="仿宋_GB2312" w:eastAsia="仿宋_GB2312" w:cs="仿宋_GB2312"/>
                <w:color w:val="000000"/>
                <w:spacing w:val="-6"/>
                <w:kern w:val="0"/>
                <w:sz w:val="22"/>
                <w:szCs w:val="22"/>
                <w:highlight w:val="none"/>
                <w:lang w:val="en-US" w:eastAsia="zh-CN"/>
              </w:rPr>
              <w:t>保持稳定</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default" w:ascii="仿宋_GB2312" w:hAnsi="仿宋_GB2312" w:eastAsia="仿宋_GB2312" w:cs="仿宋_GB2312"/>
                <w:color w:val="000000"/>
                <w:spacing w:val="-6"/>
                <w:kern w:val="0"/>
                <w:sz w:val="22"/>
                <w:szCs w:val="22"/>
                <w:highlight w:val="none"/>
                <w:lang w:val="en-US" w:eastAsia="zh-CN"/>
              </w:rPr>
            </w:pPr>
            <w:r>
              <w:rPr>
                <w:rFonts w:hint="eastAsia" w:ascii="仿宋_GB2312" w:hAnsi="仿宋_GB2312" w:eastAsia="仿宋_GB2312" w:cs="仿宋_GB2312"/>
                <w:color w:val="000000"/>
                <w:spacing w:val="-6"/>
                <w:kern w:val="0"/>
                <w:sz w:val="22"/>
                <w:szCs w:val="22"/>
                <w:highlight w:val="none"/>
                <w:lang w:val="en-US" w:eastAsia="zh-CN"/>
              </w:rPr>
              <w:t>保持稳定</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sz w:val="22"/>
                <w:szCs w:val="22"/>
                <w:highlight w:val="none"/>
              </w:rPr>
            </w:pPr>
            <w:r>
              <w:rPr>
                <w:rFonts w:hint="eastAsia" w:ascii="仿宋_GB2312" w:hAnsi="仿宋_GB2312" w:eastAsia="仿宋_GB2312" w:cs="仿宋_GB2312"/>
                <w:color w:val="000000"/>
                <w:sz w:val="22"/>
                <w:szCs w:val="22"/>
                <w:highlight w:val="none"/>
              </w:rPr>
              <w:t>约束性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color w:val="000000"/>
                <w:sz w:val="22"/>
                <w:szCs w:val="22"/>
                <w:highlight w:val="none"/>
                <w:lang w:eastAsia="zh-CN"/>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default" w:ascii="仿宋_GB2312" w:hAnsi="仿宋_GB2312" w:eastAsia="仿宋_GB2312" w:cs="仿宋_GB2312"/>
                <w:b/>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lang w:val="en-US" w:eastAsia="zh-CN"/>
              </w:rPr>
              <w:t>38</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sz w:val="22"/>
                <w:szCs w:val="22"/>
                <w:highlight w:val="none"/>
              </w:rPr>
              <w:t>海漂垃圾分布密度（平方米/千米）</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z w:val="22"/>
                <w:szCs w:val="31"/>
                <w:highlight w:val="none"/>
                <w:lang w:val="en-US" w:eastAsia="zh-CN"/>
              </w:rPr>
              <w:t>270</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pacing w:val="-20"/>
                <w:sz w:val="22"/>
                <w:szCs w:val="31"/>
                <w:highlight w:val="none"/>
                <w:lang w:val="en-US" w:eastAsia="zh-CN"/>
              </w:rPr>
              <w:t>240</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pacing w:val="-20"/>
                <w:sz w:val="22"/>
                <w:szCs w:val="31"/>
                <w:highlight w:val="none"/>
                <w:lang w:val="en-US" w:eastAsia="zh-CN"/>
              </w:rPr>
              <w:t>210</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预期性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37" w:type="dxa"/>
            <w:vMerge w:val="restart"/>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
                <w:bCs/>
                <w:color w:val="000000"/>
                <w:sz w:val="22"/>
                <w:szCs w:val="31"/>
                <w:highlight w:val="none"/>
              </w:rPr>
            </w:pPr>
            <w:r>
              <w:rPr>
                <w:rFonts w:hint="eastAsia" w:ascii="仿宋_GB2312" w:hAnsi="仿宋_GB2312" w:eastAsia="仿宋_GB2312" w:cs="仿宋_GB2312"/>
                <w:b/>
                <w:bCs/>
                <w:color w:val="000000"/>
                <w:sz w:val="22"/>
                <w:szCs w:val="31"/>
                <w:highlight w:val="none"/>
              </w:rPr>
              <w:t>美丽</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r>
              <w:rPr>
                <w:rFonts w:hint="eastAsia" w:ascii="仿宋_GB2312" w:hAnsi="仿宋_GB2312" w:eastAsia="仿宋_GB2312" w:cs="仿宋_GB2312"/>
                <w:b/>
                <w:bCs/>
                <w:color w:val="000000"/>
                <w:sz w:val="22"/>
                <w:szCs w:val="31"/>
                <w:highlight w:val="none"/>
              </w:rPr>
              <w:t>园区</w:t>
            </w: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default" w:ascii="仿宋_GB2312" w:hAnsi="仿宋_GB2312" w:eastAsia="仿宋_GB2312" w:cs="仿宋_GB2312"/>
                <w:b/>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lang w:val="en-US" w:eastAsia="zh-CN"/>
              </w:rPr>
              <w:t>39</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pStyle w:val="3"/>
              <w:keepNext w:val="0"/>
              <w:keepLines w:val="0"/>
              <w:suppressLineNumbers w:val="0"/>
              <w:spacing w:before="0" w:beforeAutospacing="0" w:afterAutospacing="0"/>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美丽园区建成率</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≥40%</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稳步提高</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全面建成</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pStyle w:val="3"/>
              <w:keepNext w:val="0"/>
              <w:keepLines w:val="0"/>
              <w:suppressLineNumbers w:val="0"/>
              <w:spacing w:before="0" w:beforeAutospacing="0" w:afterAutospacing="0"/>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约束性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sz w:val="22"/>
                <w:szCs w:val="22"/>
                <w:highlight w:val="none"/>
                <w:lang w:val="en-US" w:eastAsia="zh-CN"/>
              </w:rPr>
              <w:t>市</w:t>
            </w:r>
            <w:r>
              <w:rPr>
                <w:rFonts w:hint="eastAsia" w:ascii="仿宋_GB2312" w:hAnsi="仿宋_GB2312" w:eastAsia="仿宋_GB2312" w:cs="仿宋_GB2312"/>
                <w:color w:val="000000"/>
                <w:sz w:val="22"/>
                <w:szCs w:val="22"/>
                <w:highlight w:val="none"/>
                <w:lang w:eastAsia="zh-CN"/>
              </w:rPr>
              <w:t>生态环境</w:t>
            </w:r>
            <w:r>
              <w:rPr>
                <w:rFonts w:hint="eastAsia" w:ascii="仿宋_GB2312" w:hAnsi="仿宋_GB2312" w:eastAsia="仿宋_GB2312" w:cs="仿宋_GB2312"/>
                <w:color w:val="000000"/>
                <w:sz w:val="22"/>
                <w:szCs w:val="22"/>
                <w:highlight w:val="none"/>
                <w:lang w:val="en-US" w:eastAsia="zh-CN"/>
              </w:rPr>
              <w:t>局、市</w:t>
            </w:r>
            <w:r>
              <w:rPr>
                <w:rFonts w:hint="eastAsia" w:ascii="仿宋_GB2312" w:hAnsi="仿宋_GB2312" w:eastAsia="仿宋_GB2312" w:cs="仿宋_GB2312"/>
                <w:color w:val="000000"/>
                <w:kern w:val="0"/>
                <w:sz w:val="22"/>
                <w:szCs w:val="22"/>
                <w:highlight w:val="none"/>
                <w:lang w:val="en-US" w:eastAsia="zh-CN"/>
              </w:rPr>
              <w:t>工信局、</w:t>
            </w:r>
          </w:p>
          <w:p>
            <w:pPr>
              <w:keepNext w:val="0"/>
              <w:keepLines w:val="0"/>
              <w:suppressLineNumbers w:val="0"/>
              <w:overflowPunct w:val="0"/>
              <w:spacing w:before="40" w:beforeAutospacing="0" w:after="40" w:afterAutospacing="0" w:line="220" w:lineRule="exact"/>
              <w:ind w:left="0" w:right="0"/>
              <w:jc w:val="center"/>
              <w:rPr>
                <w:rFonts w:hint="default" w:ascii="仿宋_GB2312" w:hAnsi="仿宋_GB2312" w:cs="仿宋_GB2312"/>
                <w:color w:val="000000"/>
                <w:lang w:eastAsia="zh-CN"/>
              </w:rPr>
            </w:pPr>
            <w:r>
              <w:rPr>
                <w:rFonts w:hint="eastAsia" w:ascii="仿宋_GB2312" w:hAnsi="仿宋_GB2312" w:eastAsia="仿宋_GB2312" w:cs="仿宋_GB2312"/>
                <w:color w:val="000000"/>
                <w:sz w:val="22"/>
                <w:szCs w:val="22"/>
                <w:highlight w:val="none"/>
                <w:lang w:eastAsia="zh-CN"/>
              </w:rPr>
              <w:t>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default" w:ascii="仿宋_GB2312" w:hAnsi="仿宋_GB2312" w:eastAsia="仿宋_GB2312" w:cs="仿宋_GB2312"/>
                <w:b/>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lang w:val="en-US" w:eastAsia="zh-CN"/>
              </w:rPr>
              <w:t>40</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sz w:val="22"/>
                <w:szCs w:val="22"/>
                <w:highlight w:val="none"/>
                <w:lang w:val="en-US" w:eastAsia="zh-CN"/>
              </w:rPr>
              <w:t>规范化危险废物处置率</w:t>
            </w:r>
            <w:r>
              <w:rPr>
                <w:rFonts w:hint="eastAsia" w:ascii="仿宋_GB2312" w:hAnsi="仿宋_GB2312" w:eastAsia="仿宋_GB2312" w:cs="仿宋_GB2312"/>
                <w:color w:val="000000"/>
                <w:sz w:val="22"/>
                <w:szCs w:val="22"/>
                <w:highlight w:val="none"/>
              </w:rPr>
              <w:t>（%）</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val="en-US" w:eastAsia="zh-CN"/>
              </w:rPr>
            </w:pPr>
            <w:r>
              <w:rPr>
                <w:rFonts w:hint="eastAsia" w:ascii="仿宋_GB2312" w:hAnsi="仿宋_GB2312" w:eastAsia="仿宋_GB2312" w:cs="仿宋_GB2312"/>
                <w:bCs/>
                <w:color w:val="000000"/>
                <w:sz w:val="22"/>
                <w:szCs w:val="22"/>
                <w:highlight w:val="none"/>
                <w:vertAlign w:val="baseline"/>
                <w:lang w:val="en-US" w:eastAsia="zh-CN"/>
              </w:rPr>
              <w:t>100</w:t>
            </w:r>
          </w:p>
        </w:tc>
        <w:tc>
          <w:tcPr>
            <w:tcW w:w="2294" w:type="dxa"/>
            <w:gridSpan w:val="2"/>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kern w:val="2"/>
                <w:sz w:val="22"/>
                <w:szCs w:val="22"/>
                <w:highlight w:val="none"/>
                <w:vertAlign w:val="baseline"/>
                <w:lang w:val="en-US" w:eastAsia="zh-CN" w:bidi="ar-SA"/>
              </w:rPr>
            </w:pPr>
            <w:r>
              <w:rPr>
                <w:rFonts w:hint="eastAsia" w:ascii="仿宋_GB2312" w:hAnsi="仿宋_GB2312" w:eastAsia="仿宋_GB2312" w:cs="仿宋_GB2312"/>
                <w:bCs/>
                <w:color w:val="000000"/>
                <w:kern w:val="2"/>
                <w:sz w:val="22"/>
                <w:szCs w:val="22"/>
                <w:highlight w:val="none"/>
                <w:vertAlign w:val="baseline"/>
                <w:lang w:val="en-US" w:eastAsia="zh-CN" w:bidi="ar-SA"/>
              </w:rPr>
              <w:t>保持稳定</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kern w:val="2"/>
                <w:sz w:val="22"/>
                <w:szCs w:val="22"/>
                <w:highlight w:val="none"/>
                <w:lang w:val="en-US" w:eastAsia="zh-CN" w:bidi="ar-SA"/>
              </w:rPr>
              <w:t>预期性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val="en-US" w:eastAsia="zh-CN"/>
              </w:rPr>
              <w:t>市</w:t>
            </w:r>
            <w:r>
              <w:rPr>
                <w:rFonts w:hint="eastAsia" w:ascii="仿宋_GB2312" w:hAnsi="仿宋_GB2312" w:eastAsia="仿宋_GB2312" w:cs="仿宋_GB2312"/>
                <w:color w:val="000000"/>
                <w:sz w:val="22"/>
                <w:szCs w:val="22"/>
                <w:highlight w:val="none"/>
                <w:lang w:eastAsia="zh-CN"/>
              </w:rPr>
              <w:t>生态环境</w:t>
            </w:r>
            <w:r>
              <w:rPr>
                <w:rFonts w:hint="eastAsia" w:ascii="仿宋_GB2312" w:hAnsi="仿宋_GB2312" w:eastAsia="仿宋_GB2312" w:cs="仿宋_GB2312"/>
                <w:color w:val="000000"/>
                <w:sz w:val="22"/>
                <w:szCs w:val="22"/>
                <w:highlight w:val="none"/>
                <w:lang w:val="en-US" w:eastAsia="zh-CN"/>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37" w:type="dxa"/>
            <w:vMerge w:val="continue"/>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top"/>
          </w:tcPr>
          <w:p>
            <w:pPr>
              <w:keepNext w:val="0"/>
              <w:keepLines w:val="0"/>
              <w:suppressLineNumbers w:val="0"/>
              <w:spacing w:before="0" w:beforeAutospacing="0" w:after="0" w:afterAutospacing="0"/>
              <w:ind w:left="0" w:right="0"/>
              <w:rPr>
                <w:rFonts w:hint="eastAsia" w:ascii="仿宋_GB2312" w:hAnsi="仿宋_GB2312" w:eastAsia="仿宋_GB2312" w:cs="仿宋_GB2312"/>
                <w:bCs/>
                <w:color w:val="000000"/>
                <w:sz w:val="32"/>
                <w:szCs w:val="32"/>
                <w:highlight w:val="none"/>
                <w:vertAlign w:val="baseline"/>
                <w:lang w:eastAsia="zh-CN"/>
              </w:rPr>
            </w:pPr>
          </w:p>
        </w:tc>
        <w:tc>
          <w:tcPr>
            <w:tcW w:w="657"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default" w:ascii="仿宋_GB2312" w:hAnsi="仿宋_GB2312" w:eastAsia="仿宋_GB2312" w:cs="仿宋_GB2312"/>
                <w:color w:val="000000"/>
                <w:kern w:val="2"/>
                <w:sz w:val="22"/>
                <w:szCs w:val="31"/>
                <w:highlight w:val="none"/>
                <w:lang w:val="en-US" w:eastAsia="zh-CN" w:bidi="ar-SA"/>
              </w:rPr>
            </w:pPr>
            <w:r>
              <w:rPr>
                <w:rFonts w:hint="eastAsia" w:ascii="仿宋_GB2312" w:hAnsi="仿宋_GB2312" w:eastAsia="仿宋_GB2312" w:cs="仿宋_GB2312"/>
                <w:b/>
                <w:color w:val="000000"/>
                <w:sz w:val="22"/>
                <w:szCs w:val="31"/>
                <w:highlight w:val="none"/>
                <w:lang w:val="en-US" w:eastAsia="zh-CN"/>
              </w:rPr>
              <w:t>41</w:t>
            </w:r>
          </w:p>
        </w:tc>
        <w:tc>
          <w:tcPr>
            <w:tcW w:w="169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单位GDP用水量（立方米/万元）</w:t>
            </w:r>
          </w:p>
        </w:tc>
        <w:tc>
          <w:tcPr>
            <w:tcW w:w="942"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val="en-US" w:eastAsia="zh-CN"/>
              </w:rPr>
            </w:pPr>
            <w:r>
              <w:rPr>
                <w:rFonts w:hint="eastAsia" w:ascii="仿宋_GB2312" w:hAnsi="仿宋_GB2312" w:eastAsia="仿宋_GB2312" w:cs="仿宋_GB2312"/>
                <w:color w:val="000000"/>
                <w:sz w:val="22"/>
                <w:szCs w:val="22"/>
                <w:highlight w:val="none"/>
              </w:rPr>
              <w:t>3</w:t>
            </w:r>
            <w:r>
              <w:rPr>
                <w:rFonts w:hint="eastAsia" w:ascii="仿宋_GB2312" w:hAnsi="仿宋_GB2312" w:eastAsia="仿宋_GB2312" w:cs="仿宋_GB2312"/>
                <w:color w:val="000000"/>
                <w:sz w:val="22"/>
                <w:szCs w:val="22"/>
                <w:highlight w:val="none"/>
                <w:lang w:val="en-US" w:eastAsia="zh-CN"/>
              </w:rPr>
              <w:t>4</w:t>
            </w:r>
          </w:p>
        </w:tc>
        <w:tc>
          <w:tcPr>
            <w:tcW w:w="1069"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z w:val="22"/>
                <w:szCs w:val="22"/>
                <w:highlight w:val="none"/>
              </w:rPr>
              <w:t>完成</w:t>
            </w:r>
            <w:r>
              <w:rPr>
                <w:rFonts w:hint="eastAsia" w:ascii="仿宋_GB2312" w:hAnsi="仿宋_GB2312" w:eastAsia="仿宋_GB2312" w:cs="仿宋_GB2312"/>
                <w:color w:val="000000"/>
                <w:sz w:val="22"/>
                <w:szCs w:val="22"/>
                <w:highlight w:val="none"/>
                <w:lang w:val="en-US" w:eastAsia="zh-CN"/>
              </w:rPr>
              <w:t>省</w:t>
            </w:r>
            <w:r>
              <w:rPr>
                <w:rFonts w:hint="eastAsia" w:ascii="仿宋_GB2312" w:hAnsi="仿宋_GB2312" w:cs="仿宋_GB2312"/>
                <w:color w:val="000000"/>
                <w:sz w:val="22"/>
                <w:szCs w:val="22"/>
                <w:highlight w:val="none"/>
                <w:lang w:val="en-US" w:eastAsia="zh-CN"/>
              </w:rPr>
              <w:t>水利厅</w:t>
            </w:r>
            <w:r>
              <w:rPr>
                <w:rFonts w:hint="eastAsia" w:ascii="仿宋_GB2312" w:hAnsi="仿宋_GB2312" w:eastAsia="仿宋_GB2312" w:cs="仿宋_GB2312"/>
                <w:color w:val="000000"/>
                <w:sz w:val="22"/>
                <w:szCs w:val="22"/>
                <w:highlight w:val="none"/>
              </w:rPr>
              <w:t>下达指标</w:t>
            </w:r>
          </w:p>
        </w:tc>
        <w:tc>
          <w:tcPr>
            <w:tcW w:w="1225"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bCs/>
                <w:color w:val="000000"/>
                <w:sz w:val="22"/>
                <w:szCs w:val="22"/>
                <w:highlight w:val="none"/>
                <w:vertAlign w:val="baseline"/>
                <w:lang w:eastAsia="zh-CN"/>
              </w:rPr>
            </w:pPr>
            <w:r>
              <w:rPr>
                <w:rFonts w:hint="eastAsia" w:ascii="仿宋_GB2312" w:hAnsi="仿宋_GB2312" w:eastAsia="仿宋_GB2312" w:cs="仿宋_GB2312"/>
                <w:color w:val="000000"/>
                <w:sz w:val="22"/>
                <w:szCs w:val="22"/>
                <w:highlight w:val="none"/>
              </w:rPr>
              <w:t>完成</w:t>
            </w:r>
            <w:r>
              <w:rPr>
                <w:rFonts w:hint="eastAsia" w:ascii="仿宋_GB2312" w:hAnsi="仿宋_GB2312" w:eastAsia="仿宋_GB2312" w:cs="仿宋_GB2312"/>
                <w:color w:val="000000"/>
                <w:sz w:val="22"/>
                <w:szCs w:val="22"/>
                <w:highlight w:val="none"/>
                <w:lang w:val="en-US" w:eastAsia="zh-CN"/>
              </w:rPr>
              <w:t>省</w:t>
            </w:r>
            <w:r>
              <w:rPr>
                <w:rFonts w:hint="eastAsia" w:ascii="仿宋_GB2312" w:hAnsi="仿宋_GB2312" w:cs="仿宋_GB2312"/>
                <w:color w:val="000000"/>
                <w:sz w:val="22"/>
                <w:szCs w:val="22"/>
                <w:highlight w:val="none"/>
                <w:lang w:val="en-US" w:eastAsia="zh-CN"/>
              </w:rPr>
              <w:t>水利厅</w:t>
            </w:r>
            <w:r>
              <w:rPr>
                <w:rFonts w:hint="eastAsia" w:ascii="仿宋_GB2312" w:hAnsi="仿宋_GB2312" w:eastAsia="仿宋_GB2312" w:cs="仿宋_GB2312"/>
                <w:color w:val="000000"/>
                <w:sz w:val="22"/>
                <w:szCs w:val="22"/>
                <w:highlight w:val="none"/>
              </w:rPr>
              <w:t>下达指标</w:t>
            </w:r>
          </w:p>
        </w:tc>
        <w:tc>
          <w:tcPr>
            <w:tcW w:w="774"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rPr>
              <w:t>约束性</w:t>
            </w:r>
          </w:p>
        </w:tc>
        <w:tc>
          <w:tcPr>
            <w:tcW w:w="1611" w:type="dxa"/>
            <w:tcBorders>
              <w:top w:val="single" w:color="auto" w:sz="4" w:space="0"/>
              <w:left w:val="single" w:color="auto" w:sz="4" w:space="0"/>
              <w:bottom w:val="single" w:color="auto" w:sz="4" w:space="0"/>
              <w:right w:val="single" w:color="auto" w:sz="4" w:space="0"/>
            </w:tcBorders>
            <w:noWrap w:val="0"/>
            <w:tcMar>
              <w:top w:w="0" w:type="dxa"/>
              <w:left w:w="57" w:type="dxa"/>
              <w:bottom w:w="0" w:type="dxa"/>
              <w:right w:w="51" w:type="dxa"/>
            </w:tcMar>
            <w:vAlign w:val="center"/>
          </w:tcPr>
          <w:p>
            <w:pPr>
              <w:keepNext w:val="0"/>
              <w:keepLines w:val="0"/>
              <w:suppressLineNumbers w:val="0"/>
              <w:overflowPunct w:val="0"/>
              <w:spacing w:before="40" w:beforeAutospacing="0" w:after="40" w:afterAutospacing="0" w:line="220" w:lineRule="exact"/>
              <w:ind w:left="0" w:right="0"/>
              <w:jc w:val="center"/>
              <w:rPr>
                <w:rFonts w:hint="eastAsia" w:ascii="仿宋_GB2312" w:hAnsi="仿宋_GB2312" w:eastAsia="仿宋_GB2312" w:cs="仿宋_GB2312"/>
                <w:color w:val="000000"/>
                <w:kern w:val="2"/>
                <w:sz w:val="22"/>
                <w:szCs w:val="22"/>
                <w:highlight w:val="none"/>
                <w:lang w:val="en-US" w:eastAsia="zh-CN" w:bidi="ar-SA"/>
              </w:rPr>
            </w:pPr>
            <w:r>
              <w:rPr>
                <w:rFonts w:hint="eastAsia" w:ascii="仿宋_GB2312" w:hAnsi="仿宋_GB2312" w:eastAsia="仿宋_GB2312" w:cs="仿宋_GB2312"/>
                <w:color w:val="000000"/>
                <w:sz w:val="22"/>
                <w:szCs w:val="22"/>
                <w:highlight w:val="none"/>
                <w:lang w:eastAsia="zh-CN"/>
              </w:rPr>
              <w:t>市水利局</w:t>
            </w:r>
          </w:p>
        </w:tc>
      </w:tr>
    </w:tbl>
    <w:p>
      <w:pPr>
        <w:pStyle w:val="2"/>
        <w:jc w:val="center"/>
        <w:rPr>
          <w:rFonts w:hint="eastAsia" w:ascii="黑体" w:hAnsi="黑体" w:eastAsia="黑体" w:cs="黑体"/>
          <w:b/>
          <w:bCs/>
          <w:i w:val="0"/>
          <w:iCs w:val="0"/>
          <w:caps w:val="0"/>
          <w:color w:val="000000"/>
          <w:spacing w:val="0"/>
          <w:kern w:val="0"/>
          <w:sz w:val="40"/>
          <w:szCs w:val="40"/>
          <w:shd w:val="clear" w:color="auto" w:fill="FFFFFF"/>
          <w:lang w:val="en-US" w:eastAsia="zh-CN" w:bidi="ar"/>
        </w:rPr>
      </w:pPr>
    </w:p>
    <w:p>
      <w:pPr>
        <w:jc w:val="both"/>
        <w:outlineLvl w:val="0"/>
        <w:rPr>
          <w:rFonts w:hint="eastAsia" w:ascii="黑体" w:hAnsi="黑体" w:eastAsia="黑体" w:cs="黑体"/>
          <w:b/>
          <w:bCs w:val="0"/>
          <w:color w:val="000000"/>
          <w:sz w:val="32"/>
          <w:szCs w:val="32"/>
          <w:lang w:val="en-US" w:eastAsia="zh-CN"/>
        </w:rPr>
      </w:pPr>
      <w:bookmarkStart w:id="25" w:name="_Toc30573"/>
      <w:bookmarkStart w:id="26" w:name="_Toc25726"/>
      <w:bookmarkStart w:id="27" w:name="_Toc30111"/>
      <w:bookmarkStart w:id="28" w:name="_Toc3407"/>
      <w:bookmarkStart w:id="29" w:name="_Toc3554"/>
    </w:p>
    <w:p>
      <w:pPr>
        <w:jc w:val="center"/>
        <w:outlineLvl w:val="0"/>
        <w:rPr>
          <w:rFonts w:hint="eastAsia" w:ascii="黑体" w:hAnsi="黑体" w:eastAsia="黑体" w:cs="黑体"/>
          <w:b/>
          <w:bCs w:val="0"/>
          <w:color w:val="000000"/>
          <w:sz w:val="32"/>
          <w:szCs w:val="32"/>
          <w:lang w:val="en-US" w:eastAsia="zh-CN"/>
        </w:rPr>
        <w:sectPr>
          <w:footerReference r:id="rId6" w:type="default"/>
          <w:pgSz w:w="11906" w:h="16838"/>
          <w:pgMar w:top="1928" w:right="1587" w:bottom="1928" w:left="1587" w:header="851" w:footer="1417" w:gutter="0"/>
          <w:pgNumType w:fmt="numberInDash"/>
          <w:cols w:space="720" w:num="1"/>
          <w:rtlGutter w:val="0"/>
          <w:docGrid w:type="lines" w:linePitch="457" w:charSpace="0"/>
        </w:sectPr>
      </w:pPr>
    </w:p>
    <w:p>
      <w:pPr>
        <w:jc w:val="left"/>
        <w:outlineLvl w:val="0"/>
        <w:rPr>
          <w:rFonts w:hint="eastAsia" w:ascii="黑体" w:hAnsi="黑体" w:eastAsia="黑体" w:cs="黑体"/>
          <w:b w:val="0"/>
          <w:bCs/>
          <w:color w:val="000000"/>
          <w:sz w:val="32"/>
          <w:szCs w:val="32"/>
          <w:lang w:val="en-US" w:eastAsia="zh-CN"/>
        </w:rPr>
      </w:pPr>
      <w:bookmarkStart w:id="30" w:name="_Toc19191"/>
      <w:r>
        <w:rPr>
          <w:rFonts w:hint="eastAsia" w:ascii="黑体" w:hAnsi="黑体" w:eastAsia="黑体" w:cs="黑体"/>
          <w:b w:val="0"/>
          <w:bCs/>
          <w:color w:val="000000"/>
          <w:sz w:val="32"/>
          <w:szCs w:val="32"/>
          <w:lang w:val="en-US" w:eastAsia="zh-CN"/>
        </w:rPr>
        <w:t>附件</w:t>
      </w:r>
    </w:p>
    <w:p>
      <w:pPr>
        <w:jc w:val="center"/>
        <w:outlineLvl w:val="0"/>
        <w:rPr>
          <w:rFonts w:hint="eastAsia" w:ascii="方正小标宋简体" w:hAnsi="方正小标宋简体" w:eastAsia="方正小标宋简体" w:cs="方正小标宋简体"/>
          <w:b w:val="0"/>
          <w:bCs/>
          <w:color w:val="000000"/>
          <w:sz w:val="40"/>
          <w:szCs w:val="40"/>
          <w:lang w:val="en-US" w:eastAsia="zh-CN"/>
        </w:rPr>
      </w:pPr>
      <w:r>
        <w:rPr>
          <w:rFonts w:hint="eastAsia" w:ascii="方正小标宋简体" w:hAnsi="方正小标宋简体" w:eastAsia="方正小标宋简体" w:cs="方正小标宋简体"/>
          <w:b w:val="0"/>
          <w:bCs/>
          <w:color w:val="000000"/>
          <w:sz w:val="40"/>
          <w:szCs w:val="40"/>
          <w:lang w:val="en-US" w:eastAsia="zh-CN"/>
        </w:rPr>
        <w:t>重大工程项目清单（第一批）</w:t>
      </w:r>
      <w:bookmarkEnd w:id="30"/>
    </w:p>
    <w:tbl>
      <w:tblPr>
        <w:tblStyle w:val="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79" w:type="dxa"/>
          <w:left w:w="108" w:type="dxa"/>
          <w:bottom w:w="79" w:type="dxa"/>
          <w:right w:w="108" w:type="dxa"/>
        </w:tblCellMar>
      </w:tblPr>
      <w:tblGrid>
        <w:gridCol w:w="436"/>
        <w:gridCol w:w="2045"/>
        <w:gridCol w:w="6111"/>
        <w:gridCol w:w="3944"/>
        <w:gridCol w:w="163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318" w:hRule="atLeast"/>
          <w:tblHeader/>
          <w:jc w:val="center"/>
        </w:trPr>
        <w:tc>
          <w:tcPr>
            <w:tcW w:w="436" w:type="dxa"/>
            <w:vMerge w:val="restart"/>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序号</w:t>
            </w:r>
          </w:p>
        </w:tc>
        <w:tc>
          <w:tcPr>
            <w:tcW w:w="2045" w:type="dxa"/>
            <w:vMerge w:val="restart"/>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工程类别</w:t>
            </w:r>
          </w:p>
        </w:tc>
        <w:tc>
          <w:tcPr>
            <w:tcW w:w="10055" w:type="dxa"/>
            <w:gridSpan w:val="2"/>
            <w:noWrap w:val="0"/>
            <w:vAlign w:val="center"/>
          </w:tcPr>
          <w:p>
            <w:pPr>
              <w:keepNext w:val="0"/>
              <w:keepLines w:val="0"/>
              <w:suppressLineNumbers w:val="0"/>
              <w:overflowPunct w:val="0"/>
              <w:adjustRightInd w:val="0"/>
              <w:snapToGrid w:val="0"/>
              <w:spacing w:before="0" w:beforeAutospacing="0" w:after="0" w:afterAutospacing="0"/>
              <w:ind w:left="0" w:right="0"/>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主要建设内容</w:t>
            </w:r>
          </w:p>
        </w:tc>
        <w:tc>
          <w:tcPr>
            <w:tcW w:w="1638" w:type="dxa"/>
            <w:vMerge w:val="restart"/>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1"/>
                <w:szCs w:val="21"/>
              </w:rPr>
            </w:pPr>
            <w:r>
              <w:rPr>
                <w:rFonts w:hint="eastAsia" w:ascii="黑体" w:hAnsi="黑体" w:eastAsia="黑体" w:cs="黑体"/>
                <w:color w:val="000000"/>
                <w:kern w:val="0"/>
                <w:sz w:val="22"/>
                <w:szCs w:val="22"/>
              </w:rPr>
              <w:t>推进单位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361" w:hRule="atLeast"/>
          <w:tblHeader/>
          <w:jc w:val="center"/>
        </w:trPr>
        <w:tc>
          <w:tcPr>
            <w:tcW w:w="436" w:type="dxa"/>
            <w:vMerge w:val="continue"/>
            <w:noWrap w:val="0"/>
            <w:vAlign w:val="center"/>
          </w:tcPr>
          <w:p>
            <w:pPr>
              <w:keepNext w:val="0"/>
              <w:keepLines w:val="0"/>
              <w:suppressLineNumbers w:val="0"/>
              <w:adjustRightInd w:val="0"/>
              <w:snapToGrid w:val="0"/>
              <w:spacing w:before="0" w:beforeAutospacing="0" w:after="0" w:afterAutospacing="0"/>
              <w:ind w:left="0" w:right="0"/>
              <w:rPr>
                <w:rFonts w:hint="eastAsia" w:ascii="黑体" w:hAnsi="黑体" w:eastAsia="黑体" w:cs="黑体"/>
                <w:color w:val="000000"/>
                <w:sz w:val="22"/>
                <w:szCs w:val="22"/>
              </w:rPr>
            </w:pPr>
          </w:p>
        </w:tc>
        <w:tc>
          <w:tcPr>
            <w:tcW w:w="2045" w:type="dxa"/>
            <w:vMerge w:val="continue"/>
            <w:noWrap w:val="0"/>
            <w:vAlign w:val="center"/>
          </w:tcPr>
          <w:p>
            <w:pPr>
              <w:keepNext w:val="0"/>
              <w:keepLines w:val="0"/>
              <w:suppressLineNumbers w:val="0"/>
              <w:adjustRightInd w:val="0"/>
              <w:snapToGrid w:val="0"/>
              <w:spacing w:before="0" w:beforeAutospacing="0" w:after="0" w:afterAutospacing="0"/>
              <w:ind w:left="0" w:right="0"/>
              <w:rPr>
                <w:rFonts w:hint="eastAsia" w:ascii="黑体" w:hAnsi="黑体" w:eastAsia="黑体" w:cs="黑体"/>
                <w:color w:val="000000"/>
                <w:sz w:val="22"/>
                <w:szCs w:val="22"/>
              </w:rPr>
            </w:pP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近期（202</w:t>
            </w:r>
            <w:r>
              <w:rPr>
                <w:rFonts w:hint="eastAsia" w:ascii="黑体" w:hAnsi="黑体" w:eastAsia="黑体" w:cs="黑体"/>
                <w:color w:val="000000"/>
                <w:kern w:val="0"/>
                <w:sz w:val="22"/>
                <w:szCs w:val="22"/>
                <w:lang w:val="en-US" w:eastAsia="zh-CN"/>
              </w:rPr>
              <w:t>5</w:t>
            </w:r>
            <w:r>
              <w:rPr>
                <w:rFonts w:hint="eastAsia" w:ascii="黑体" w:hAnsi="黑体" w:eastAsia="黑体" w:cs="黑体"/>
                <w:color w:val="000000"/>
                <w:kern w:val="0"/>
                <w:sz w:val="22"/>
                <w:szCs w:val="22"/>
                <w:lang w:eastAsia="zh-CN"/>
              </w:rPr>
              <w:t>—</w:t>
            </w:r>
            <w:r>
              <w:rPr>
                <w:rFonts w:hint="eastAsia" w:ascii="黑体" w:hAnsi="黑体" w:eastAsia="黑体" w:cs="黑体"/>
                <w:color w:val="000000"/>
                <w:kern w:val="0"/>
                <w:sz w:val="22"/>
                <w:szCs w:val="22"/>
              </w:rPr>
              <w:t>202</w:t>
            </w:r>
            <w:r>
              <w:rPr>
                <w:rFonts w:hint="eastAsia" w:ascii="黑体" w:hAnsi="黑体" w:eastAsia="黑体" w:cs="黑体"/>
                <w:color w:val="000000"/>
                <w:kern w:val="0"/>
                <w:sz w:val="22"/>
                <w:szCs w:val="22"/>
                <w:lang w:val="en-US" w:eastAsia="zh-CN"/>
              </w:rPr>
              <w:t>7</w:t>
            </w:r>
            <w:r>
              <w:rPr>
                <w:rFonts w:hint="eastAsia" w:ascii="黑体" w:hAnsi="黑体" w:eastAsia="黑体" w:cs="黑体"/>
                <w:color w:val="000000"/>
                <w:kern w:val="0"/>
                <w:sz w:val="22"/>
                <w:szCs w:val="22"/>
              </w:rPr>
              <w:t>年）</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黑体" w:hAnsi="黑体" w:eastAsia="黑体" w:cs="黑体"/>
                <w:color w:val="000000"/>
                <w:kern w:val="0"/>
                <w:sz w:val="22"/>
                <w:szCs w:val="22"/>
              </w:rPr>
            </w:pPr>
            <w:r>
              <w:rPr>
                <w:rFonts w:hint="eastAsia" w:ascii="黑体" w:hAnsi="黑体" w:eastAsia="黑体" w:cs="黑体"/>
                <w:color w:val="000000"/>
                <w:kern w:val="0"/>
                <w:sz w:val="22"/>
                <w:szCs w:val="22"/>
              </w:rPr>
              <w:t>中远期（202</w:t>
            </w:r>
            <w:r>
              <w:rPr>
                <w:rFonts w:hint="eastAsia" w:ascii="黑体" w:hAnsi="黑体" w:eastAsia="黑体" w:cs="黑体"/>
                <w:color w:val="000000"/>
                <w:kern w:val="0"/>
                <w:sz w:val="22"/>
                <w:szCs w:val="22"/>
                <w:lang w:val="en-US" w:eastAsia="zh-CN"/>
              </w:rPr>
              <w:t>8</w:t>
            </w:r>
            <w:r>
              <w:rPr>
                <w:rFonts w:hint="eastAsia" w:ascii="黑体" w:hAnsi="黑体" w:eastAsia="黑体" w:cs="黑体"/>
                <w:color w:val="000000"/>
                <w:kern w:val="0"/>
                <w:sz w:val="22"/>
                <w:szCs w:val="22"/>
                <w:lang w:eastAsia="zh-CN"/>
              </w:rPr>
              <w:t>—</w:t>
            </w:r>
            <w:r>
              <w:rPr>
                <w:rFonts w:hint="eastAsia" w:ascii="黑体" w:hAnsi="黑体" w:eastAsia="黑体" w:cs="黑体"/>
                <w:color w:val="000000"/>
                <w:kern w:val="0"/>
                <w:sz w:val="22"/>
                <w:szCs w:val="22"/>
              </w:rPr>
              <w:t>2035年）</w:t>
            </w:r>
          </w:p>
        </w:tc>
        <w:tc>
          <w:tcPr>
            <w:tcW w:w="1638" w:type="dxa"/>
            <w:vMerge w:val="continue"/>
            <w:noWrap w:val="0"/>
            <w:vAlign w:val="center"/>
          </w:tcPr>
          <w:p>
            <w:pPr>
              <w:keepNext w:val="0"/>
              <w:keepLines w:val="0"/>
              <w:suppressLineNumbers w:val="0"/>
              <w:adjustRightInd w:val="0"/>
              <w:snapToGrid w:val="0"/>
              <w:spacing w:before="0" w:beforeAutospacing="0" w:after="0" w:afterAutospacing="0"/>
              <w:ind w:left="0" w:right="0"/>
              <w:rPr>
                <w:rFonts w:hint="eastAsia" w:ascii="仿宋_GB2312" w:hAnsi="仿宋_GB2312" w:eastAsia="仿宋_GB2312" w:cs="仿宋_GB2312"/>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398" w:hRule="atLeast"/>
          <w:jc w:val="center"/>
        </w:trPr>
        <w:tc>
          <w:tcPr>
            <w:tcW w:w="14174" w:type="dxa"/>
            <w:gridSpan w:val="5"/>
            <w:noWrap w:val="0"/>
            <w:vAlign w:val="center"/>
          </w:tcPr>
          <w:p>
            <w:pPr>
              <w:keepNext w:val="0"/>
              <w:keepLines w:val="0"/>
              <w:widowControl/>
              <w:suppressLineNumbers w:val="0"/>
              <w:overflowPunct w:val="0"/>
              <w:adjustRightInd w:val="0"/>
              <w:snapToGrid w:val="0"/>
              <w:spacing w:before="0" w:beforeAutospacing="0" w:after="0" w:afterAutospacing="0"/>
              <w:ind w:left="0" w:right="0"/>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color w:val="000000"/>
                <w:kern w:val="0"/>
                <w:sz w:val="22"/>
                <w:szCs w:val="22"/>
              </w:rPr>
              <w:t>一、美丽城市建设工程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1728"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“莆阳福道”建设</w:t>
            </w:r>
          </w:p>
        </w:tc>
        <w:tc>
          <w:tcPr>
            <w:tcW w:w="6111" w:type="dxa"/>
            <w:noWrap w:val="0"/>
            <w:vAlign w:val="center"/>
          </w:tcPr>
          <w:p>
            <w:pPr>
              <w:keepNext w:val="0"/>
              <w:keepLines w:val="0"/>
              <w:widowControl/>
              <w:numPr>
                <w:ilvl w:val="0"/>
                <w:numId w:val="0"/>
              </w:numPr>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rPr>
            </w:pPr>
            <w:r>
              <w:rPr>
                <w:rFonts w:hint="eastAsia" w:ascii="仿宋_GB2312" w:hAnsi="仿宋_GB2312" w:eastAsia="仿宋_GB2312" w:cs="仿宋_GB2312"/>
                <w:color w:val="000000"/>
                <w:kern w:val="0"/>
                <w:sz w:val="22"/>
                <w:szCs w:val="22"/>
                <w:highlight w:val="none"/>
                <w:lang w:val="en-US" w:eastAsia="zh-CN"/>
              </w:rPr>
              <w:t>1.实施凤凰福道植物园文旅项目，2026年前凤凰福道投入使用；2.开展莆阳福道（绶溪段）建设。</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持续推进“莆阳福道”建设项目，建设功能更加完善的莆阳福道网络体系。</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eastAsia="zh-CN"/>
              </w:rPr>
              <w:t>市住建局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eastAsia="zh-CN"/>
              </w:rPr>
              <w:t>市自然资源局市林业局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eastAsia="zh-CN"/>
              </w:rPr>
              <w:t>市水利局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3510"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rPr>
              <w:t>城市空气</w:t>
            </w:r>
            <w:r>
              <w:rPr>
                <w:rFonts w:hint="eastAsia" w:ascii="仿宋_GB2312" w:hAnsi="仿宋_GB2312" w:eastAsia="仿宋_GB2312" w:cs="仿宋_GB2312"/>
                <w:color w:val="000000"/>
                <w:kern w:val="0"/>
                <w:sz w:val="22"/>
                <w:szCs w:val="22"/>
                <w:lang w:eastAsia="zh-CN"/>
              </w:rPr>
              <w:t>防控</w:t>
            </w:r>
          </w:p>
        </w:tc>
        <w:tc>
          <w:tcPr>
            <w:tcW w:w="6111" w:type="dxa"/>
            <w:noWrap w:val="0"/>
            <w:vAlign w:val="center"/>
          </w:tcPr>
          <w:p>
            <w:pPr>
              <w:keepNext w:val="0"/>
              <w:keepLines w:val="0"/>
              <w:widowControl/>
              <w:numPr>
                <w:ilvl w:val="0"/>
                <w:numId w:val="0"/>
              </w:numPr>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spacing w:val="-6"/>
                <w:kern w:val="0"/>
                <w:sz w:val="22"/>
                <w:szCs w:val="22"/>
                <w:lang w:eastAsia="zh-CN"/>
              </w:rPr>
            </w:pPr>
            <w:r>
              <w:rPr>
                <w:rFonts w:hint="eastAsia" w:ascii="仿宋_GB2312" w:hAnsi="仿宋_GB2312" w:eastAsia="仿宋_GB2312" w:cs="仿宋_GB2312"/>
                <w:color w:val="000000"/>
                <w:kern w:val="0"/>
                <w:sz w:val="22"/>
                <w:szCs w:val="22"/>
                <w:lang w:val="en-US" w:eastAsia="zh-CN"/>
              </w:rPr>
              <w:t>1.</w:t>
            </w:r>
            <w:r>
              <w:rPr>
                <w:rFonts w:hint="eastAsia" w:ascii="仿宋_GB2312" w:hAnsi="仿宋_GB2312" w:eastAsia="仿宋_GB2312" w:cs="仿宋_GB2312"/>
                <w:color w:val="000000"/>
                <w:spacing w:val="-6"/>
                <w:kern w:val="0"/>
                <w:sz w:val="22"/>
                <w:szCs w:val="22"/>
                <w:lang w:eastAsia="zh-CN"/>
              </w:rPr>
              <w:t>持续推进全市制鞋、家具等行业挥发性有机物综合治理，提高废气收集、处理率，有效降低本地污染物排放量，推动全市生物质锅炉废气排放提升改造</w:t>
            </w:r>
            <w:r>
              <w:rPr>
                <w:rFonts w:hint="eastAsia" w:ascii="仿宋_GB2312" w:hAnsi="仿宋_GB2312" w:eastAsia="仿宋_GB2312" w:cs="仿宋_GB2312"/>
                <w:color w:val="000000"/>
                <w:spacing w:val="-6"/>
                <w:kern w:val="0"/>
                <w:sz w:val="22"/>
                <w:szCs w:val="22"/>
                <w:highlight w:val="none"/>
                <w:lang w:val="en-US" w:eastAsia="zh-CN"/>
              </w:rPr>
              <w:t>、日晶玻璃有限公司窑炉烟气治理设施升级改造、中锦新材料有限公司锅炉烟气脱硝除尘改造、海安集团股份有限公司“煤改气”、山垣资源再生公司燃生物质锅炉废气治理提升改造等项目</w:t>
            </w:r>
            <w:r>
              <w:rPr>
                <w:rFonts w:hint="eastAsia" w:ascii="仿宋_GB2312" w:hAnsi="仿宋_GB2312" w:eastAsia="仿宋_GB2312" w:cs="仿宋_GB2312"/>
                <w:color w:val="000000"/>
                <w:spacing w:val="-6"/>
                <w:kern w:val="0"/>
                <w:sz w:val="22"/>
                <w:szCs w:val="22"/>
                <w:lang w:eastAsia="zh-CN"/>
              </w:rPr>
              <w:t>，淘汰10蒸吨以下燃煤锅炉。</w:t>
            </w:r>
          </w:p>
          <w:p>
            <w:pPr>
              <w:keepNext w:val="0"/>
              <w:keepLines w:val="0"/>
              <w:widowControl/>
              <w:numPr>
                <w:ilvl w:val="0"/>
                <w:numId w:val="0"/>
              </w:numPr>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lang w:val="en-US" w:eastAsia="zh-CN"/>
              </w:rPr>
              <w:t>2.提升城区环境卫生清扫保洁水平，做好城市道路扬尘治理工作。</w:t>
            </w:r>
          </w:p>
          <w:p>
            <w:pPr>
              <w:keepNext w:val="0"/>
              <w:keepLines w:val="0"/>
              <w:widowControl/>
              <w:numPr>
                <w:ilvl w:val="0"/>
                <w:numId w:val="0"/>
              </w:numPr>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lang w:val="en-US" w:eastAsia="zh-CN"/>
              </w:rPr>
              <w:t>3.推广新能源车辆应用，</w:t>
            </w:r>
            <w:r>
              <w:rPr>
                <w:rFonts w:hint="eastAsia" w:ascii="仿宋_GB2312" w:hAnsi="仿宋_GB2312" w:eastAsia="仿宋_GB2312" w:cs="仿宋_GB2312"/>
                <w:color w:val="000000"/>
                <w:kern w:val="0"/>
                <w:sz w:val="22"/>
                <w:szCs w:val="22"/>
                <w:highlight w:val="none"/>
                <w:lang w:eastAsia="zh-CN"/>
              </w:rPr>
              <w:t>新增新能源公交车</w:t>
            </w:r>
            <w:r>
              <w:rPr>
                <w:rFonts w:hint="eastAsia" w:ascii="仿宋_GB2312" w:hAnsi="仿宋_GB2312" w:eastAsia="仿宋_GB2312" w:cs="仿宋_GB2312"/>
                <w:color w:val="000000"/>
                <w:kern w:val="0"/>
                <w:sz w:val="22"/>
                <w:szCs w:val="22"/>
                <w:highlight w:val="none"/>
                <w:lang w:val="en-US" w:eastAsia="zh-CN"/>
              </w:rPr>
              <w:t>200辆。</w:t>
            </w:r>
          </w:p>
          <w:p>
            <w:pPr>
              <w:keepNext w:val="0"/>
              <w:keepLines w:val="0"/>
              <w:widowControl/>
              <w:numPr>
                <w:ilvl w:val="0"/>
                <w:numId w:val="0"/>
              </w:numPr>
              <w:suppressLineNumbers w:val="0"/>
              <w:overflowPunct w:val="0"/>
              <w:adjustRightInd w:val="0"/>
              <w:snapToGrid w:val="0"/>
              <w:spacing w:before="0" w:beforeAutospacing="0" w:after="0" w:afterAutospacing="0"/>
              <w:ind w:left="0" w:right="0"/>
              <w:rPr>
                <w:rFonts w:hint="default"/>
                <w:color w:val="000000"/>
                <w:lang w:val="en-US"/>
              </w:rPr>
            </w:pPr>
            <w:r>
              <w:rPr>
                <w:rFonts w:hint="eastAsia" w:ascii="仿宋_GB2312" w:hAnsi="仿宋_GB2312" w:eastAsia="仿宋_GB2312" w:cs="仿宋_GB2312"/>
                <w:color w:val="000000"/>
                <w:kern w:val="0"/>
                <w:sz w:val="22"/>
                <w:szCs w:val="22"/>
                <w:highlight w:val="none"/>
                <w:lang w:val="en-US" w:eastAsia="zh-CN"/>
              </w:rPr>
              <w:t>4.加强施工工地扬尘污染管控，严格落实工地“六个百分百”。</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rPr>
              <w:t>全面实施大气污染物减排</w:t>
            </w:r>
            <w:r>
              <w:rPr>
                <w:rFonts w:hint="eastAsia" w:ascii="仿宋_GB2312" w:hAnsi="仿宋_GB2312" w:eastAsia="仿宋_GB2312" w:cs="仿宋_GB2312"/>
                <w:color w:val="000000"/>
                <w:kern w:val="0"/>
                <w:sz w:val="22"/>
                <w:szCs w:val="22"/>
                <w:lang w:val="en-US" w:eastAsia="zh-CN"/>
              </w:rPr>
              <w:t>和防治</w:t>
            </w:r>
            <w:r>
              <w:rPr>
                <w:rFonts w:hint="eastAsia" w:ascii="仿宋_GB2312" w:hAnsi="仿宋_GB2312" w:eastAsia="仿宋_GB2312" w:cs="仿宋_GB2312"/>
                <w:color w:val="000000"/>
                <w:kern w:val="0"/>
                <w:sz w:val="22"/>
                <w:szCs w:val="22"/>
              </w:rPr>
              <w:t>项目，</w:t>
            </w:r>
            <w:r>
              <w:rPr>
                <w:rFonts w:hint="eastAsia" w:ascii="仿宋_GB2312" w:hAnsi="仿宋_GB2312" w:eastAsia="仿宋_GB2312" w:cs="仿宋_GB2312"/>
                <w:color w:val="000000"/>
                <w:kern w:val="0"/>
                <w:sz w:val="22"/>
                <w:szCs w:val="22"/>
                <w:lang w:val="en-US" w:eastAsia="zh-CN"/>
              </w:rPr>
              <w:t>持续完善大气污染智能</w:t>
            </w:r>
            <w:r>
              <w:rPr>
                <w:rFonts w:hint="eastAsia" w:ascii="仿宋_GB2312" w:hAnsi="仿宋_GB2312" w:eastAsia="仿宋_GB2312" w:cs="仿宋_GB2312"/>
                <w:color w:val="000000"/>
                <w:kern w:val="0"/>
                <w:sz w:val="22"/>
                <w:szCs w:val="22"/>
              </w:rPr>
              <w:t>监管</w:t>
            </w:r>
            <w:r>
              <w:rPr>
                <w:rFonts w:hint="eastAsia" w:ascii="仿宋_GB2312" w:hAnsi="仿宋_GB2312" w:eastAsia="仿宋_GB2312" w:cs="仿宋_GB2312"/>
                <w:color w:val="000000"/>
                <w:kern w:val="0"/>
                <w:sz w:val="22"/>
                <w:szCs w:val="22"/>
                <w:lang w:val="en-US" w:eastAsia="zh-CN"/>
              </w:rPr>
              <w:t>体系建设</w:t>
            </w:r>
            <w:r>
              <w:rPr>
                <w:rFonts w:hint="eastAsia" w:ascii="仿宋_GB2312" w:hAnsi="仿宋_GB2312" w:eastAsia="仿宋_GB2312" w:cs="仿宋_GB2312"/>
                <w:color w:val="000000"/>
                <w:kern w:val="0"/>
                <w:sz w:val="22"/>
                <w:szCs w:val="22"/>
              </w:rPr>
              <w:t>。</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eastAsia="zh-CN"/>
              </w:rPr>
              <w:t>市</w:t>
            </w:r>
            <w:r>
              <w:rPr>
                <w:rFonts w:hint="eastAsia" w:ascii="仿宋_GB2312" w:hAnsi="仿宋_GB2312" w:eastAsia="仿宋_GB2312" w:cs="仿宋_GB2312"/>
                <w:color w:val="000000"/>
                <w:kern w:val="0"/>
                <w:sz w:val="22"/>
                <w:szCs w:val="22"/>
                <w:highlight w:val="none"/>
              </w:rPr>
              <w:t>生态环境</w:t>
            </w:r>
            <w:r>
              <w:rPr>
                <w:rFonts w:hint="eastAsia" w:ascii="仿宋_GB2312" w:hAnsi="仿宋_GB2312" w:eastAsia="仿宋_GB2312" w:cs="仿宋_GB2312"/>
                <w:color w:val="000000"/>
                <w:kern w:val="0"/>
                <w:sz w:val="22"/>
                <w:szCs w:val="22"/>
                <w:highlight w:val="none"/>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rPr>
              <w:t>交通运输</w:t>
            </w:r>
            <w:r>
              <w:rPr>
                <w:rFonts w:hint="eastAsia" w:ascii="仿宋_GB2312" w:hAnsi="仿宋_GB2312" w:eastAsia="仿宋_GB2312" w:cs="仿宋_GB2312"/>
                <w:color w:val="000000"/>
                <w:kern w:val="0"/>
                <w:sz w:val="22"/>
                <w:szCs w:val="22"/>
                <w:highlight w:val="none"/>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lang w:val="en-US" w:eastAsia="zh-CN"/>
              </w:rPr>
              <w:t>城市管理局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rPr>
              <w:t>发改委</w:t>
            </w:r>
          </w:p>
          <w:p>
            <w:pPr>
              <w:keepNext w:val="0"/>
              <w:keepLines w:val="0"/>
              <w:widowControl/>
              <w:suppressLineNumbers w:val="0"/>
              <w:overflowPunct w:val="0"/>
              <w:adjustRightInd w:val="0"/>
              <w:snapToGrid w:val="0"/>
              <w:spacing w:before="0" w:beforeAutospacing="0" w:after="0" w:afterAutospacing="0"/>
              <w:ind w:left="0" w:right="0"/>
              <w:jc w:val="center"/>
              <w:rPr>
                <w:rFonts w:hint="default" w:eastAsia="仿宋_GB2312"/>
                <w:color w:val="000000"/>
                <w:lang w:val="en-US" w:eastAsia="zh-CN"/>
              </w:rPr>
            </w:pPr>
            <w:r>
              <w:rPr>
                <w:rFonts w:hint="eastAsia" w:ascii="仿宋_GB2312" w:hAnsi="仿宋_GB2312" w:eastAsia="仿宋_GB2312" w:cs="仿宋_GB2312"/>
                <w:color w:val="000000"/>
                <w:kern w:val="0"/>
                <w:sz w:val="22"/>
                <w:szCs w:val="22"/>
                <w:highlight w:val="none"/>
                <w:lang w:val="en-US" w:eastAsia="zh-CN"/>
              </w:rPr>
              <w:t>市住建局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90"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城市碧水整治</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spacing w:val="0"/>
                <w:kern w:val="0"/>
                <w:sz w:val="22"/>
                <w:szCs w:val="22"/>
                <w:highlight w:val="none"/>
                <w:lang w:eastAsia="zh-CN" w:bidi="ar-SA"/>
              </w:rPr>
            </w:pPr>
            <w:r>
              <w:rPr>
                <w:rFonts w:hint="eastAsia" w:ascii="仿宋_GB2312" w:hAnsi="仿宋_GB2312" w:eastAsia="仿宋_GB2312" w:cs="仿宋_GB2312"/>
                <w:color w:val="000000"/>
                <w:spacing w:val="0"/>
                <w:kern w:val="0"/>
                <w:sz w:val="22"/>
                <w:szCs w:val="22"/>
                <w:highlight w:val="none"/>
                <w:lang w:eastAsia="zh-CN"/>
              </w:rPr>
              <w:t>1.</w:t>
            </w:r>
            <w:r>
              <w:rPr>
                <w:rFonts w:hint="eastAsia" w:ascii="仿宋_GB2312" w:hAnsi="仿宋_GB2312" w:eastAsia="仿宋_GB2312" w:cs="仿宋_GB2312"/>
                <w:color w:val="000000"/>
                <w:spacing w:val="0"/>
                <w:kern w:val="0"/>
                <w:sz w:val="22"/>
                <w:szCs w:val="22"/>
                <w:highlight w:val="none"/>
                <w:lang w:eastAsia="zh-CN" w:bidi="ar-SA"/>
              </w:rPr>
              <w:t>实施城乡供水一体化工程项目，实现全市城乡供水“同</w:t>
            </w:r>
            <w:r>
              <w:rPr>
                <w:rFonts w:hint="eastAsia" w:ascii="仿宋_GB2312" w:hAnsi="仿宋_GB2312" w:eastAsia="仿宋_GB2312" w:cs="仿宋_GB2312"/>
                <w:color w:val="000000"/>
                <w:spacing w:val="0"/>
                <w:kern w:val="0"/>
                <w:sz w:val="22"/>
                <w:szCs w:val="22"/>
                <w:highlight w:val="none"/>
                <w:lang w:val="en-US" w:eastAsia="zh-CN" w:bidi="ar-SA"/>
              </w:rPr>
              <w:t>质</w:t>
            </w:r>
            <w:r>
              <w:rPr>
                <w:rFonts w:hint="eastAsia" w:ascii="仿宋_GB2312" w:hAnsi="仿宋_GB2312" w:eastAsia="仿宋_GB2312" w:cs="仿宋_GB2312"/>
                <w:color w:val="000000"/>
                <w:spacing w:val="0"/>
                <w:kern w:val="0"/>
                <w:sz w:val="22"/>
                <w:szCs w:val="22"/>
                <w:highlight w:val="none"/>
                <w:lang w:eastAsia="zh-CN" w:bidi="ar-SA"/>
              </w:rPr>
              <w:t>、同服务”的目标。</w:t>
            </w:r>
          </w:p>
          <w:p>
            <w:pPr>
              <w:keepNext w:val="0"/>
              <w:keepLines w:val="0"/>
              <w:widowControl/>
              <w:numPr>
                <w:ilvl w:val="0"/>
                <w:numId w:val="0"/>
              </w:numPr>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rPr>
            </w:pPr>
            <w:r>
              <w:rPr>
                <w:rFonts w:hint="eastAsia" w:ascii="仿宋_GB2312" w:hAnsi="仿宋_GB2312" w:eastAsia="仿宋_GB2312" w:cs="仿宋_GB2312"/>
                <w:color w:val="000000"/>
                <w:spacing w:val="0"/>
                <w:kern w:val="0"/>
                <w:sz w:val="22"/>
                <w:szCs w:val="22"/>
                <w:highlight w:val="none"/>
                <w:lang w:eastAsia="zh-CN"/>
              </w:rPr>
              <w:t>2.</w:t>
            </w:r>
            <w:r>
              <w:rPr>
                <w:rFonts w:hint="eastAsia" w:ascii="仿宋_GB2312" w:hAnsi="仿宋_GB2312" w:eastAsia="仿宋_GB2312" w:cs="仿宋_GB2312"/>
                <w:color w:val="000000"/>
                <w:spacing w:val="0"/>
                <w:kern w:val="0"/>
                <w:sz w:val="22"/>
                <w:szCs w:val="22"/>
                <w:highlight w:val="none"/>
                <w:lang w:val="en-US" w:eastAsia="zh-CN"/>
              </w:rPr>
              <w:t>新建/改造仙游第二污水处理厂、荔城污水处理厂、秀屿污水处理厂、湄洲岛污水处理厂，启动闽中污水处理厂四期扩建建设工程；</w:t>
            </w:r>
            <w:r>
              <w:rPr>
                <w:rFonts w:hint="eastAsia" w:ascii="仿宋_GB2312" w:hAnsi="仿宋_GB2312" w:eastAsia="仿宋_GB2312" w:cs="仿宋_GB2312"/>
                <w:color w:val="000000"/>
                <w:spacing w:val="0"/>
                <w:kern w:val="0"/>
                <w:sz w:val="22"/>
                <w:szCs w:val="22"/>
                <w:highlight w:val="none"/>
                <w:lang w:eastAsia="zh-CN" w:bidi="ar-SA"/>
              </w:rPr>
              <w:t>开展</w:t>
            </w:r>
            <w:r>
              <w:rPr>
                <w:rFonts w:hint="eastAsia" w:ascii="仿宋_GB2312" w:hAnsi="仿宋_GB2312" w:eastAsia="仿宋_GB2312" w:cs="仿宋_GB2312"/>
                <w:color w:val="000000"/>
                <w:spacing w:val="0"/>
                <w:kern w:val="0"/>
                <w:sz w:val="22"/>
                <w:szCs w:val="22"/>
                <w:highlight w:val="none"/>
                <w:lang w:val="en-US" w:eastAsia="zh-CN" w:bidi="ar-SA"/>
              </w:rPr>
              <w:t>莆田市城镇污水基础</w:t>
            </w:r>
            <w:r>
              <w:rPr>
                <w:rFonts w:hint="eastAsia" w:ascii="仿宋_GB2312" w:hAnsi="仿宋_GB2312" w:eastAsia="仿宋_GB2312" w:cs="仿宋_GB2312"/>
                <w:color w:val="000000"/>
                <w:spacing w:val="-6"/>
                <w:kern w:val="0"/>
                <w:sz w:val="22"/>
                <w:szCs w:val="22"/>
                <w:highlight w:val="none"/>
                <w:lang w:val="en-US" w:eastAsia="zh-CN" w:bidi="ar-SA"/>
              </w:rPr>
              <w:t>设施提升市政污水管网项目，</w:t>
            </w:r>
            <w:r>
              <w:rPr>
                <w:rFonts w:hint="eastAsia" w:ascii="仿宋_GB2312" w:hAnsi="仿宋_GB2312" w:eastAsia="仿宋_GB2312" w:cs="仿宋_GB2312"/>
                <w:color w:val="000000"/>
                <w:spacing w:val="-6"/>
                <w:kern w:val="0"/>
                <w:sz w:val="22"/>
                <w:szCs w:val="22"/>
                <w:highlight w:val="none"/>
                <w:lang w:eastAsia="zh-CN" w:bidi="ar-SA"/>
              </w:rPr>
              <w:t>到202</w:t>
            </w:r>
            <w:r>
              <w:rPr>
                <w:rFonts w:hint="eastAsia" w:ascii="仿宋_GB2312" w:hAnsi="仿宋_GB2312" w:eastAsia="仿宋_GB2312" w:cs="仿宋_GB2312"/>
                <w:color w:val="000000"/>
                <w:spacing w:val="-6"/>
                <w:kern w:val="0"/>
                <w:sz w:val="22"/>
                <w:szCs w:val="22"/>
                <w:highlight w:val="none"/>
                <w:lang w:val="en-US" w:eastAsia="zh-CN" w:bidi="ar-SA"/>
              </w:rPr>
              <w:t>7</w:t>
            </w:r>
            <w:r>
              <w:rPr>
                <w:rFonts w:hint="eastAsia" w:ascii="仿宋_GB2312" w:hAnsi="仿宋_GB2312" w:eastAsia="仿宋_GB2312" w:cs="仿宋_GB2312"/>
                <w:color w:val="000000"/>
                <w:spacing w:val="-6"/>
                <w:kern w:val="0"/>
                <w:sz w:val="22"/>
                <w:szCs w:val="22"/>
                <w:highlight w:val="none"/>
                <w:lang w:eastAsia="zh-CN" w:bidi="ar-SA"/>
              </w:rPr>
              <w:t>年，基本完成城镇污水处理基础设施建设</w:t>
            </w:r>
            <w:r>
              <w:rPr>
                <w:rFonts w:hint="eastAsia" w:ascii="仿宋_GB2312" w:hAnsi="仿宋_GB2312" w:eastAsia="仿宋_GB2312" w:cs="仿宋_GB2312"/>
                <w:color w:val="000000"/>
                <w:spacing w:val="-6"/>
                <w:kern w:val="0"/>
                <w:sz w:val="22"/>
                <w:szCs w:val="22"/>
                <w:highlight w:val="none"/>
                <w:lang w:val="en-US" w:eastAsia="zh-CN" w:bidi="ar-SA"/>
              </w:rPr>
              <w:t>。</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eastAsia="zh-CN"/>
              </w:rPr>
              <w:t>实施完成</w:t>
            </w:r>
            <w:r>
              <w:rPr>
                <w:rFonts w:hint="eastAsia" w:ascii="仿宋_GB2312" w:hAnsi="仿宋_GB2312" w:eastAsia="仿宋_GB2312" w:cs="仿宋_GB2312"/>
                <w:color w:val="000000"/>
                <w:kern w:val="0"/>
                <w:sz w:val="22"/>
                <w:szCs w:val="22"/>
                <w:highlight w:val="none"/>
                <w:lang w:val="en-US" w:eastAsia="zh-CN"/>
              </w:rPr>
              <w:t>木兰溪城乡污水管网一体化工程，建成城市水系统监测网络，推广水厂深度处理工艺，开展城市深度节水。</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eastAsia="zh-CN"/>
              </w:rPr>
              <w:t>市</w:t>
            </w:r>
            <w:r>
              <w:rPr>
                <w:rFonts w:hint="eastAsia" w:ascii="仿宋_GB2312" w:hAnsi="仿宋_GB2312" w:eastAsia="仿宋_GB2312" w:cs="仿宋_GB2312"/>
                <w:color w:val="000000"/>
                <w:kern w:val="0"/>
                <w:sz w:val="22"/>
                <w:szCs w:val="22"/>
                <w:highlight w:val="none"/>
              </w:rPr>
              <w:t>住建</w:t>
            </w:r>
            <w:r>
              <w:rPr>
                <w:rFonts w:hint="eastAsia" w:ascii="仿宋_GB2312" w:hAnsi="仿宋_GB2312" w:eastAsia="仿宋_GB2312" w:cs="仿宋_GB2312"/>
                <w:color w:val="000000"/>
                <w:kern w:val="0"/>
                <w:sz w:val="22"/>
                <w:szCs w:val="22"/>
                <w:highlight w:val="none"/>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rPr>
              <w:t>生态环境</w:t>
            </w:r>
            <w:r>
              <w:rPr>
                <w:rFonts w:hint="eastAsia" w:ascii="仿宋_GB2312" w:hAnsi="仿宋_GB2312" w:eastAsia="仿宋_GB2312" w:cs="仿宋_GB2312"/>
                <w:color w:val="000000"/>
                <w:kern w:val="0"/>
                <w:sz w:val="22"/>
                <w:szCs w:val="22"/>
                <w:highlight w:val="none"/>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rPr>
              <w:t>水利</w:t>
            </w:r>
            <w:r>
              <w:rPr>
                <w:rFonts w:hint="eastAsia" w:ascii="仿宋_GB2312" w:hAnsi="仿宋_GB2312" w:eastAsia="仿宋_GB2312" w:cs="仿宋_GB2312"/>
                <w:color w:val="000000"/>
                <w:kern w:val="0"/>
                <w:sz w:val="22"/>
                <w:szCs w:val="22"/>
                <w:highlight w:val="none"/>
                <w:lang w:eastAsia="zh-CN"/>
              </w:rPr>
              <w:t>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981" w:hRule="atLeast"/>
          <w:jc w:val="center"/>
        </w:trPr>
        <w:tc>
          <w:tcPr>
            <w:tcW w:w="43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rPr>
              <w:t>4</w:t>
            </w:r>
          </w:p>
        </w:tc>
        <w:tc>
          <w:tcPr>
            <w:tcW w:w="20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rPr>
              <w:t>建设用地管控</w:t>
            </w:r>
          </w:p>
        </w:tc>
        <w:tc>
          <w:tcPr>
            <w:tcW w:w="6111" w:type="dxa"/>
            <w:noWrap w:val="0"/>
            <w:vAlign w:val="center"/>
          </w:tcPr>
          <w:p>
            <w:pPr>
              <w:keepNext w:val="0"/>
              <w:keepLines w:val="0"/>
              <w:suppressLineNumbers w:val="0"/>
              <w:autoSpaceDN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lang w:eastAsia="zh-CN" w:bidi="ar-SA"/>
              </w:rPr>
            </w:pPr>
            <w:r>
              <w:rPr>
                <w:rFonts w:hint="eastAsia" w:ascii="仿宋_GB2312" w:hAnsi="仿宋_GB2312" w:eastAsia="仿宋_GB2312" w:cs="仿宋_GB2312"/>
                <w:color w:val="000000"/>
                <w:sz w:val="22"/>
                <w:szCs w:val="22"/>
                <w:highlight w:val="none"/>
              </w:rPr>
              <w:t>推进用途变更为“一住两公”、有证据表明有土壤污染风险的以及高污染高风险行业用地用途拟变更或其土地使用权拟收回、转让的建设用地地块纳入联动监管范围，并督促落实调查评估，针对经调查评估发现的污染地块开展风险管控和修复。</w:t>
            </w:r>
          </w:p>
        </w:tc>
        <w:tc>
          <w:tcPr>
            <w:tcW w:w="3944" w:type="dxa"/>
            <w:noWrap w:val="0"/>
            <w:vAlign w:val="center"/>
          </w:tcPr>
          <w:p>
            <w:pPr>
              <w:keepNext w:val="0"/>
              <w:keepLines w:val="0"/>
              <w:suppressLineNumbers w:val="0"/>
              <w:autoSpaceDN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sz w:val="22"/>
                <w:szCs w:val="22"/>
                <w:highlight w:val="none"/>
              </w:rPr>
              <w:t>持续推进土壤污染状况调查，</w:t>
            </w:r>
            <w:r>
              <w:rPr>
                <w:rFonts w:hint="eastAsia" w:ascii="仿宋_GB2312" w:hAnsi="仿宋_GB2312" w:eastAsia="仿宋_GB2312" w:cs="仿宋_GB2312"/>
                <w:color w:val="000000"/>
                <w:sz w:val="22"/>
                <w:szCs w:val="22"/>
                <w:highlight w:val="none"/>
                <w:lang w:val="en-US" w:eastAsia="zh-CN"/>
              </w:rPr>
              <w:t>实现</w:t>
            </w:r>
            <w:r>
              <w:rPr>
                <w:rFonts w:hint="eastAsia" w:ascii="仿宋_GB2312" w:hAnsi="仿宋_GB2312" w:eastAsia="仿宋_GB2312" w:cs="仿宋_GB2312"/>
                <w:color w:val="000000"/>
                <w:sz w:val="22"/>
                <w:szCs w:val="22"/>
                <w:highlight w:val="none"/>
              </w:rPr>
              <w:t>建设用地全生命周期联动监管。</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eastAsia="zh-CN"/>
              </w:rPr>
              <w:t>市</w:t>
            </w:r>
            <w:r>
              <w:rPr>
                <w:rFonts w:hint="eastAsia" w:ascii="仿宋_GB2312" w:hAnsi="仿宋_GB2312" w:eastAsia="仿宋_GB2312" w:cs="仿宋_GB2312"/>
                <w:color w:val="000000"/>
                <w:kern w:val="0"/>
                <w:sz w:val="22"/>
                <w:szCs w:val="22"/>
                <w:highlight w:val="none"/>
              </w:rPr>
              <w:t>生态环境</w:t>
            </w:r>
            <w:r>
              <w:rPr>
                <w:rFonts w:hint="eastAsia" w:ascii="仿宋_GB2312" w:hAnsi="仿宋_GB2312" w:eastAsia="仿宋_GB2312" w:cs="仿宋_GB2312"/>
                <w:color w:val="000000"/>
                <w:kern w:val="0"/>
                <w:sz w:val="22"/>
                <w:szCs w:val="22"/>
                <w:highlight w:val="none"/>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rPr>
              <w:t>自然资源</w:t>
            </w:r>
            <w:r>
              <w:rPr>
                <w:rFonts w:hint="eastAsia" w:ascii="仿宋_GB2312" w:hAnsi="仿宋_GB2312" w:eastAsia="仿宋_GB2312" w:cs="仿宋_GB2312"/>
                <w:color w:val="000000"/>
                <w:kern w:val="0"/>
                <w:sz w:val="22"/>
                <w:szCs w:val="22"/>
                <w:highlight w:val="none"/>
                <w:lang w:eastAsia="zh-CN"/>
              </w:rPr>
              <w:t>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1809" w:hRule="atLeast"/>
          <w:jc w:val="center"/>
        </w:trPr>
        <w:tc>
          <w:tcPr>
            <w:tcW w:w="43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rPr>
              <w:t>5</w:t>
            </w:r>
          </w:p>
        </w:tc>
        <w:tc>
          <w:tcPr>
            <w:tcW w:w="20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eastAsia="zh-CN"/>
              </w:rPr>
              <w:t>构建</w:t>
            </w:r>
            <w:r>
              <w:rPr>
                <w:rFonts w:hint="eastAsia" w:ascii="仿宋_GB2312" w:hAnsi="仿宋_GB2312" w:eastAsia="仿宋_GB2312" w:cs="仿宋_GB2312"/>
                <w:color w:val="000000"/>
                <w:kern w:val="0"/>
                <w:sz w:val="22"/>
                <w:szCs w:val="22"/>
                <w:highlight w:val="none"/>
              </w:rPr>
              <w:t>“无废城市”</w:t>
            </w:r>
          </w:p>
        </w:tc>
        <w:tc>
          <w:tcPr>
            <w:tcW w:w="6111" w:type="dxa"/>
            <w:noWrap w:val="0"/>
            <w:vAlign w:val="center"/>
          </w:tcPr>
          <w:p>
            <w:pPr>
              <w:keepNext w:val="0"/>
              <w:keepLines w:val="0"/>
              <w:widowControl/>
              <w:numPr>
                <w:ilvl w:val="0"/>
                <w:numId w:val="0"/>
              </w:numPr>
              <w:suppressLineNumbers w:val="0"/>
              <w:overflowPunct w:val="0"/>
              <w:adjustRightInd w:val="0"/>
              <w:snapToGrid w:val="0"/>
              <w:spacing w:before="0" w:beforeAutospacing="0" w:after="0" w:afterAutospacing="0"/>
              <w:ind w:left="0" w:leftChars="0" w:right="0" w:firstLine="0" w:firstLineChars="0"/>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sz w:val="22"/>
                <w:szCs w:val="22"/>
                <w:highlight w:val="none"/>
                <w:lang w:val="en-US" w:eastAsia="zh-CN"/>
              </w:rPr>
              <w:t>贯彻落实《莆田市“十四五”时期“无废城市”建设实施方案》，持续推进固体废物的源头减量、资源化利用和无害化处置，实施相关固废资源化利用、改造等项目。持续扩大农村生活垃圾分类覆盖范围，鼓励木兰溪沿岸乡镇优先开展农村生活垃圾分类工作，覆盖率至少达到50%。沿木兰溪两岸乡镇优先开展可降解农膜试验示范。2025年底，建成木兰溪资源循环经济产业园及相关固废资源化利用项目。</w:t>
            </w:r>
          </w:p>
        </w:tc>
        <w:tc>
          <w:tcPr>
            <w:tcW w:w="3944" w:type="dxa"/>
            <w:noWrap w:val="0"/>
            <w:vAlign w:val="center"/>
          </w:tcPr>
          <w:p>
            <w:pPr>
              <w:keepNext w:val="0"/>
              <w:keepLines w:val="0"/>
              <w:widowControl/>
              <w:numPr>
                <w:ilvl w:val="0"/>
                <w:numId w:val="0"/>
              </w:numPr>
              <w:suppressLineNumbers w:val="0"/>
              <w:overflowPunct w:val="0"/>
              <w:adjustRightInd w:val="0"/>
              <w:snapToGrid w:val="0"/>
              <w:spacing w:before="0" w:beforeAutospacing="0" w:after="0" w:afterAutospacing="0"/>
              <w:ind w:left="0" w:leftChars="0" w:right="0" w:firstLine="0" w:firstLineChars="0"/>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建设成为“源头少排放、资源全利用、废物零填埋”的“无废城市”，绿色发展和绿色生活方式全面形成，减污降碳成效显著。</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bCs/>
                <w:color w:val="000000"/>
                <w:kern w:val="0"/>
                <w:sz w:val="22"/>
                <w:szCs w:val="22"/>
                <w:highlight w:val="none"/>
                <w:lang w:eastAsia="zh-CN"/>
              </w:rPr>
              <w:t>市</w:t>
            </w:r>
            <w:r>
              <w:rPr>
                <w:rFonts w:hint="eastAsia" w:ascii="仿宋_GB2312" w:hAnsi="仿宋_GB2312" w:eastAsia="仿宋_GB2312" w:cs="仿宋_GB2312"/>
                <w:color w:val="000000"/>
                <w:kern w:val="0"/>
                <w:sz w:val="22"/>
                <w:szCs w:val="22"/>
                <w:highlight w:val="none"/>
              </w:rPr>
              <w:t>生态环境</w:t>
            </w:r>
            <w:r>
              <w:rPr>
                <w:rFonts w:hint="eastAsia" w:ascii="仿宋_GB2312" w:hAnsi="仿宋_GB2312" w:eastAsia="仿宋_GB2312" w:cs="仿宋_GB2312"/>
                <w:color w:val="000000"/>
                <w:kern w:val="0"/>
                <w:sz w:val="22"/>
                <w:szCs w:val="22"/>
                <w:highlight w:val="none"/>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rPr>
              <w:t>发改委</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rPr>
              <w:t>农业农村</w:t>
            </w:r>
            <w:r>
              <w:rPr>
                <w:rFonts w:hint="eastAsia" w:ascii="仿宋_GB2312" w:hAnsi="仿宋_GB2312" w:eastAsia="仿宋_GB2312" w:cs="仿宋_GB2312"/>
                <w:color w:val="000000"/>
                <w:kern w:val="0"/>
                <w:sz w:val="22"/>
                <w:szCs w:val="22"/>
                <w:highlight w:val="none"/>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bCs/>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lang w:eastAsia="zh-CN"/>
              </w:rPr>
              <w:t>城市管理局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1669" w:hRule="atLeast"/>
          <w:jc w:val="center"/>
        </w:trPr>
        <w:tc>
          <w:tcPr>
            <w:tcW w:w="43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6</w:t>
            </w:r>
          </w:p>
        </w:tc>
        <w:tc>
          <w:tcPr>
            <w:tcW w:w="20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城市有机更新</w:t>
            </w:r>
          </w:p>
        </w:tc>
        <w:tc>
          <w:tcPr>
            <w:tcW w:w="6111" w:type="dxa"/>
            <w:noWrap w:val="0"/>
            <w:vAlign w:val="center"/>
          </w:tcPr>
          <w:p>
            <w:pPr>
              <w:keepNext w:val="0"/>
              <w:keepLines w:val="0"/>
              <w:widowControl/>
              <w:numPr>
                <w:ilvl w:val="0"/>
                <w:numId w:val="0"/>
              </w:numPr>
              <w:suppressLineNumbers w:val="0"/>
              <w:overflowPunct w:val="0"/>
              <w:autoSpaceDN/>
              <w:adjustRightInd w:val="0"/>
              <w:snapToGrid w:val="0"/>
              <w:spacing w:before="0" w:beforeAutospacing="0" w:after="0" w:afterAutospacing="0"/>
              <w:ind w:left="0" w:right="0"/>
              <w:rPr>
                <w:rFonts w:hint="eastAsia" w:ascii="仿宋_GB2312" w:hAnsi="仿宋_GB2312" w:eastAsia="仿宋_GB2312" w:cs="仿宋_GB2312"/>
                <w:color w:val="000000"/>
                <w:sz w:val="22"/>
                <w:szCs w:val="22"/>
                <w:highlight w:val="none"/>
                <w:lang w:val="en-US" w:eastAsia="zh-CN"/>
              </w:rPr>
            </w:pPr>
            <w:r>
              <w:rPr>
                <w:rFonts w:hint="eastAsia" w:ascii="仿宋_GB2312" w:hAnsi="仿宋_GB2312" w:eastAsia="仿宋_GB2312" w:cs="仿宋_GB2312"/>
                <w:color w:val="000000"/>
                <w:sz w:val="22"/>
                <w:szCs w:val="22"/>
                <w:highlight w:val="none"/>
                <w:lang w:eastAsia="zh-CN"/>
              </w:rPr>
              <w:t>1.</w:t>
            </w:r>
            <w:r>
              <w:rPr>
                <w:rFonts w:hint="eastAsia" w:ascii="仿宋_GB2312" w:hAnsi="仿宋_GB2312" w:eastAsia="仿宋_GB2312" w:cs="仿宋_GB2312"/>
                <w:color w:val="000000"/>
                <w:sz w:val="22"/>
                <w:szCs w:val="22"/>
                <w:highlight w:val="none"/>
                <w:lang w:val="en-US" w:eastAsia="zh-CN"/>
              </w:rPr>
              <w:t>编制《莆田市老城有机更新及风貌提升规划》，推进老城更新、风貌整治、公共服务设施提升，提升城市居住品质。</w:t>
            </w:r>
          </w:p>
          <w:p>
            <w:pPr>
              <w:keepNext w:val="0"/>
              <w:keepLines w:val="0"/>
              <w:widowControl/>
              <w:suppressLineNumbers w:val="0"/>
              <w:overflowPunct w:val="0"/>
              <w:adjustRightInd w:val="0"/>
              <w:snapToGrid w:val="0"/>
              <w:spacing w:before="0" w:beforeAutospacing="0" w:after="0" w:afterAutospacing="0"/>
              <w:ind w:left="0" w:right="0" w:firstLine="0" w:firstLineChars="0"/>
              <w:rPr>
                <w:rFonts w:hint="eastAsia" w:ascii="仿宋_GB2312" w:hAnsi="仿宋_GB2312" w:eastAsia="仿宋_GB2312" w:cs="仿宋_GB2312"/>
                <w:color w:val="000000"/>
                <w:lang w:eastAsia="zh-CN"/>
              </w:rPr>
            </w:pPr>
            <w:r>
              <w:rPr>
                <w:rFonts w:hint="eastAsia" w:ascii="仿宋_GB2312" w:hAnsi="仿宋_GB2312" w:eastAsia="仿宋_GB2312" w:cs="仿宋_GB2312"/>
                <w:color w:val="000000"/>
                <w:kern w:val="2"/>
                <w:sz w:val="22"/>
                <w:szCs w:val="22"/>
                <w:highlight w:val="none"/>
                <w:lang w:eastAsia="zh-CN" w:bidi="ar-SA"/>
              </w:rPr>
              <w:t>2.实施城镇基础设施提升项目，完成仙游县老城区内20条道路的雨污水管网改造及荔城区10个老旧小区污水管网改造。</w:t>
            </w:r>
          </w:p>
        </w:tc>
        <w:tc>
          <w:tcPr>
            <w:tcW w:w="3944" w:type="dxa"/>
            <w:noWrap w:val="0"/>
            <w:vAlign w:val="center"/>
          </w:tcPr>
          <w:p>
            <w:pPr>
              <w:keepNext w:val="0"/>
              <w:keepLines w:val="0"/>
              <w:suppressLineNumbers w:val="0"/>
              <w:autoSpaceDN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rPr>
              <w:t>持续推进老</w:t>
            </w:r>
            <w:r>
              <w:rPr>
                <w:rFonts w:hint="eastAsia" w:ascii="仿宋_GB2312" w:hAnsi="仿宋_GB2312" w:eastAsia="仿宋_GB2312" w:cs="仿宋_GB2312"/>
                <w:color w:val="000000"/>
                <w:kern w:val="0"/>
                <w:sz w:val="22"/>
                <w:szCs w:val="22"/>
                <w:lang w:val="en-US" w:eastAsia="zh-CN"/>
              </w:rPr>
              <w:t>城更新</w:t>
            </w:r>
            <w:r>
              <w:rPr>
                <w:rFonts w:hint="eastAsia" w:ascii="仿宋_GB2312" w:hAnsi="仿宋_GB2312" w:eastAsia="仿宋_GB2312" w:cs="仿宋_GB2312"/>
                <w:color w:val="000000"/>
                <w:kern w:val="0"/>
                <w:sz w:val="22"/>
                <w:szCs w:val="22"/>
              </w:rPr>
              <w:t>改造项目，</w:t>
            </w:r>
            <w:r>
              <w:rPr>
                <w:rFonts w:hint="eastAsia" w:ascii="仿宋_GB2312" w:hAnsi="仿宋_GB2312" w:eastAsia="仿宋_GB2312" w:cs="仿宋_GB2312"/>
                <w:color w:val="000000"/>
                <w:kern w:val="0"/>
                <w:sz w:val="22"/>
                <w:szCs w:val="22"/>
                <w:lang w:val="en-US" w:eastAsia="zh-CN"/>
              </w:rPr>
              <w:t>完善</w:t>
            </w:r>
            <w:r>
              <w:rPr>
                <w:rFonts w:hint="eastAsia" w:ascii="仿宋_GB2312" w:hAnsi="仿宋_GB2312" w:eastAsia="仿宋_GB2312" w:cs="仿宋_GB2312"/>
                <w:color w:val="000000"/>
                <w:kern w:val="0"/>
                <w:sz w:val="22"/>
                <w:szCs w:val="22"/>
              </w:rPr>
              <w:t>城市治理数字化、智能化管理体系。</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rPr>
              <w:t>市住建局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lang w:eastAsia="zh-CN"/>
              </w:rPr>
              <w:t>城市管理局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lang w:val="en-US" w:eastAsia="zh-CN"/>
              </w:rPr>
              <w:t>发改委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2284" w:hRule="atLeast"/>
          <w:jc w:val="center"/>
        </w:trPr>
        <w:tc>
          <w:tcPr>
            <w:tcW w:w="43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val="en-US" w:eastAsia="zh-CN"/>
              </w:rPr>
              <w:t>7</w:t>
            </w:r>
          </w:p>
        </w:tc>
        <w:tc>
          <w:tcPr>
            <w:tcW w:w="20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rPr>
              <w:t>低碳社区建设</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left"/>
              <w:rPr>
                <w:rFonts w:hint="eastAsia" w:ascii="仿宋_GB2312" w:hAnsi="仿宋_GB2312" w:eastAsia="仿宋_GB2312" w:cs="仿宋_GB2312"/>
                <w:color w:val="000000"/>
                <w:kern w:val="0"/>
                <w:sz w:val="22"/>
                <w:szCs w:val="22"/>
                <w:lang w:val="en-US" w:eastAsia="zh-CN" w:bidi="ar-SA"/>
              </w:rPr>
            </w:pPr>
            <w:r>
              <w:rPr>
                <w:rStyle w:val="15"/>
                <w:rFonts w:hint="eastAsia" w:ascii="仿宋_GB2312" w:hAnsi="仿宋_GB2312" w:eastAsia="仿宋_GB2312" w:cs="仿宋_GB2312"/>
                <w:color w:val="000000"/>
                <w:sz w:val="22"/>
                <w:szCs w:val="22"/>
                <w:lang w:val="en-US" w:eastAsia="zh-CN"/>
              </w:rPr>
              <w:t xml:space="preserve">计划实施改造169个老旧小区改造项目，涉及38124户，全市完成20个以上低碳社区创建，形成一批可推广的低碳社区模式。加强城市噪声敏感建筑物等重点领域噪声管控，营造宜居社区环境。                                                                                               </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left"/>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sz w:val="22"/>
                <w:szCs w:val="22"/>
              </w:rPr>
              <w:t>推动水、电、气</w:t>
            </w:r>
            <w:r>
              <w:rPr>
                <w:rFonts w:hint="eastAsia" w:ascii="仿宋_GB2312" w:hAnsi="仿宋_GB2312" w:eastAsia="仿宋_GB2312" w:cs="仿宋_GB2312"/>
                <w:color w:val="000000"/>
                <w:sz w:val="22"/>
                <w:szCs w:val="22"/>
                <w:lang w:eastAsia="zh-CN"/>
              </w:rPr>
              <w:t>、</w:t>
            </w:r>
            <w:r>
              <w:rPr>
                <w:rFonts w:hint="eastAsia" w:ascii="仿宋_GB2312" w:hAnsi="仿宋_GB2312" w:eastAsia="仿宋_GB2312" w:cs="仿宋_GB2312"/>
                <w:color w:val="000000"/>
                <w:sz w:val="22"/>
                <w:szCs w:val="22"/>
                <w:lang w:val="en-US" w:eastAsia="zh-CN"/>
              </w:rPr>
              <w:t>路</w:t>
            </w:r>
            <w:r>
              <w:rPr>
                <w:rFonts w:hint="eastAsia" w:ascii="仿宋_GB2312" w:hAnsi="仿宋_GB2312" w:eastAsia="仿宋_GB2312" w:cs="仿宋_GB2312"/>
                <w:color w:val="000000"/>
                <w:sz w:val="22"/>
                <w:szCs w:val="22"/>
              </w:rPr>
              <w:t>等</w:t>
            </w:r>
            <w:r>
              <w:rPr>
                <w:rFonts w:hint="eastAsia" w:ascii="仿宋_GB2312" w:hAnsi="仿宋_GB2312" w:eastAsia="仿宋_GB2312" w:cs="仿宋_GB2312"/>
                <w:color w:val="000000"/>
                <w:sz w:val="22"/>
                <w:szCs w:val="22"/>
                <w:lang w:val="en-US" w:eastAsia="zh-CN"/>
              </w:rPr>
              <w:t>配套</w:t>
            </w:r>
            <w:r>
              <w:rPr>
                <w:rFonts w:hint="eastAsia" w:ascii="仿宋_GB2312" w:hAnsi="仿宋_GB2312" w:eastAsia="仿宋_GB2312" w:cs="仿宋_GB2312"/>
                <w:color w:val="000000"/>
                <w:sz w:val="22"/>
                <w:szCs w:val="22"/>
              </w:rPr>
              <w:t>基础设施绿色化升级项目</w:t>
            </w:r>
            <w:r>
              <w:rPr>
                <w:rFonts w:hint="eastAsia" w:ascii="仿宋_GB2312" w:hAnsi="仿宋_GB2312" w:eastAsia="仿宋_GB2312" w:cs="仿宋_GB2312"/>
                <w:color w:val="000000"/>
                <w:sz w:val="22"/>
                <w:szCs w:val="22"/>
                <w:lang w:eastAsia="zh-CN"/>
              </w:rPr>
              <w:t>；</w:t>
            </w:r>
            <w:r>
              <w:rPr>
                <w:rFonts w:hint="eastAsia" w:ascii="仿宋_GB2312" w:hAnsi="仿宋_GB2312" w:eastAsia="仿宋_GB2312" w:cs="仿宋_GB2312"/>
                <w:color w:val="000000"/>
                <w:sz w:val="22"/>
                <w:szCs w:val="22"/>
              </w:rPr>
              <w:t>构建</w:t>
            </w:r>
            <w:r>
              <w:rPr>
                <w:rFonts w:hint="eastAsia" w:ascii="仿宋_GB2312" w:hAnsi="仿宋_GB2312" w:eastAsia="仿宋_GB2312" w:cs="仿宋_GB2312"/>
                <w:color w:val="000000"/>
                <w:sz w:val="22"/>
                <w:szCs w:val="22"/>
                <w:lang w:val="en-US" w:eastAsia="zh-CN"/>
              </w:rPr>
              <w:t>信息化、智能化、低碳化社区管理模式；培育绿色文化，绿色低碳理念深入人心。</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eastAsia="zh-CN"/>
              </w:rPr>
              <w:t>市</w:t>
            </w:r>
            <w:r>
              <w:rPr>
                <w:rFonts w:hint="eastAsia" w:ascii="仿宋_GB2312" w:hAnsi="仿宋_GB2312" w:eastAsia="仿宋_GB2312" w:cs="仿宋_GB2312"/>
                <w:color w:val="000000"/>
                <w:kern w:val="0"/>
                <w:sz w:val="22"/>
                <w:szCs w:val="22"/>
                <w:highlight w:val="none"/>
              </w:rPr>
              <w:t>住建</w:t>
            </w:r>
            <w:r>
              <w:rPr>
                <w:rFonts w:hint="eastAsia" w:ascii="仿宋_GB2312" w:hAnsi="仿宋_GB2312" w:eastAsia="仿宋_GB2312" w:cs="仿宋_GB2312"/>
                <w:color w:val="000000"/>
                <w:kern w:val="0"/>
                <w:sz w:val="22"/>
                <w:szCs w:val="22"/>
                <w:highlight w:val="none"/>
                <w:lang w:eastAsia="zh-CN"/>
              </w:rPr>
              <w:t>局</w:t>
            </w:r>
          </w:p>
          <w:p>
            <w:pPr>
              <w:pStyle w:val="2"/>
              <w:keepNext w:val="0"/>
              <w:keepLines w:val="0"/>
              <w:suppressLineNumbers w:val="0"/>
              <w:spacing w:before="0" w:beforeAutospacing="0" w:afterAutospacing="0"/>
              <w:ind w:left="0" w:leftChars="0" w:right="0" w:firstLine="0" w:firstLineChars="0"/>
              <w:jc w:val="center"/>
              <w:rPr>
                <w:rFonts w:hint="eastAsia" w:ascii="仿宋_GB2312" w:hAnsi="仿宋_GB2312" w:eastAsia="仿宋_GB2312" w:cs="仿宋_GB2312"/>
                <w:color w:val="000000"/>
                <w:sz w:val="22"/>
                <w:szCs w:val="22"/>
                <w:highlight w:val="none"/>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lang w:eastAsia="zh-CN"/>
              </w:rPr>
              <w:t>城市管理局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rPr>
              <w:t>发改委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2401" w:hRule="atLeast"/>
          <w:jc w:val="center"/>
        </w:trPr>
        <w:tc>
          <w:tcPr>
            <w:tcW w:w="43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8</w:t>
            </w:r>
          </w:p>
        </w:tc>
        <w:tc>
          <w:tcPr>
            <w:tcW w:w="20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rPr>
              <w:t>绿色建筑推广</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eastAsia="zh-CN"/>
              </w:rPr>
              <w:t>贯彻落实《福建省绿色建筑发展条例》，规范绿色建筑设计、施工、运行、管理，新建民用建筑执行基本级以上绿色建筑标准，政府投资公益性建筑和大型公共建筑执行一星级以上绿色建筑标准，超高层建筑执行三星级绿色建筑标准。仙游县应按规定组织编制绿色建筑专项规划，到2025年，当年城镇新建建筑中绿色建筑占比达到100％，星级绿色建筑占比达到35%以上。</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color w:val="000000"/>
                <w:lang w:val="en-US" w:eastAsia="zh-CN"/>
              </w:rPr>
            </w:pPr>
            <w:r>
              <w:rPr>
                <w:rFonts w:hint="eastAsia" w:ascii="仿宋_GB2312" w:hAnsi="仿宋_GB2312" w:eastAsia="仿宋_GB2312" w:cs="仿宋_GB2312"/>
                <w:color w:val="000000"/>
                <w:kern w:val="0"/>
                <w:sz w:val="22"/>
                <w:szCs w:val="22"/>
                <w:highlight w:val="none"/>
              </w:rPr>
              <w:t>实施</w:t>
            </w:r>
            <w:r>
              <w:rPr>
                <w:rFonts w:hint="eastAsia" w:ascii="仿宋_GB2312" w:hAnsi="仿宋_GB2312" w:eastAsia="仿宋_GB2312" w:cs="仿宋_GB2312"/>
                <w:color w:val="000000"/>
                <w:kern w:val="0"/>
                <w:sz w:val="22"/>
                <w:szCs w:val="22"/>
                <w:highlight w:val="none"/>
                <w:lang w:eastAsia="zh-CN"/>
              </w:rPr>
              <w:t>市政府办公大楼</w:t>
            </w:r>
            <w:r>
              <w:rPr>
                <w:rFonts w:hint="eastAsia" w:ascii="仿宋_GB2312" w:hAnsi="仿宋_GB2312" w:eastAsia="仿宋_GB2312" w:cs="仿宋_GB2312"/>
                <w:color w:val="000000"/>
                <w:kern w:val="0"/>
                <w:sz w:val="22"/>
                <w:szCs w:val="22"/>
                <w:highlight w:val="none"/>
              </w:rPr>
              <w:t>绿色化改造项目，推动超低能耗建筑、近零碳建筑规模化发展项目，推广</w:t>
            </w:r>
            <w:r>
              <w:rPr>
                <w:rFonts w:hint="eastAsia" w:ascii="仿宋_GB2312" w:hAnsi="仿宋_GB2312" w:eastAsia="仿宋_GB2312" w:cs="仿宋_GB2312"/>
                <w:color w:val="000000"/>
                <w:kern w:val="0"/>
                <w:sz w:val="22"/>
                <w:szCs w:val="22"/>
                <w:highlight w:val="none"/>
                <w:lang w:eastAsia="zh-CN"/>
              </w:rPr>
              <w:t>新建办公用房</w:t>
            </w:r>
            <w:r>
              <w:rPr>
                <w:rFonts w:hint="eastAsia" w:ascii="仿宋_GB2312" w:hAnsi="仿宋_GB2312" w:eastAsia="仿宋_GB2312" w:cs="仿宋_GB2312"/>
                <w:color w:val="000000"/>
                <w:kern w:val="0"/>
                <w:sz w:val="22"/>
                <w:szCs w:val="22"/>
                <w:highlight w:val="none"/>
              </w:rPr>
              <w:t>装配式建筑，鼓励使用绿色建材。</w:t>
            </w:r>
            <w:r>
              <w:rPr>
                <w:rFonts w:hint="eastAsia" w:ascii="仿宋_GB2312" w:hAnsi="仿宋_GB2312" w:eastAsia="仿宋_GB2312" w:cs="仿宋_GB2312"/>
                <w:color w:val="000000"/>
                <w:kern w:val="0"/>
                <w:sz w:val="22"/>
                <w:szCs w:val="22"/>
                <w:highlight w:val="none"/>
                <w:lang w:eastAsia="zh-CN"/>
              </w:rPr>
              <w:t>实施既有建筑绿色化改造项目，推动超低能耗建筑、近零碳建筑发展项目，推广装配式建筑，鼓励使用绿色建材。加快建立政府工程采购绿色建材机制。到2030年，星级绿色建筑全面推广绿色建材。</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eastAsia="zh-CN"/>
              </w:rPr>
              <w:t>市</w:t>
            </w:r>
            <w:r>
              <w:rPr>
                <w:rFonts w:hint="eastAsia" w:ascii="仿宋_GB2312" w:hAnsi="仿宋_GB2312" w:eastAsia="仿宋_GB2312" w:cs="仿宋_GB2312"/>
                <w:color w:val="000000"/>
                <w:kern w:val="0"/>
                <w:sz w:val="22"/>
                <w:szCs w:val="22"/>
                <w:highlight w:val="none"/>
              </w:rPr>
              <w:t>住建</w:t>
            </w:r>
            <w:r>
              <w:rPr>
                <w:rFonts w:hint="eastAsia" w:ascii="仿宋_GB2312" w:hAnsi="仿宋_GB2312" w:eastAsia="仿宋_GB2312" w:cs="仿宋_GB2312"/>
                <w:color w:val="000000"/>
                <w:kern w:val="0"/>
                <w:sz w:val="22"/>
                <w:szCs w:val="22"/>
                <w:highlight w:val="none"/>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rPr>
              <w:t>发改委</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rPr>
              <w:t>市场监管局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lang w:eastAsia="zh-CN"/>
              </w:rPr>
              <w:t>机关事务保障中心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2104" w:hRule="atLeast"/>
          <w:jc w:val="center"/>
        </w:trPr>
        <w:tc>
          <w:tcPr>
            <w:tcW w:w="43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val="en-US" w:eastAsia="zh-CN"/>
              </w:rPr>
              <w:t>9</w:t>
            </w:r>
          </w:p>
        </w:tc>
        <w:tc>
          <w:tcPr>
            <w:tcW w:w="20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eastAsia="zh-CN"/>
              </w:rPr>
              <w:t>绿色</w:t>
            </w:r>
            <w:r>
              <w:rPr>
                <w:rFonts w:hint="eastAsia" w:ascii="仿宋_GB2312" w:hAnsi="仿宋_GB2312" w:eastAsia="仿宋_GB2312" w:cs="仿宋_GB2312"/>
                <w:color w:val="000000"/>
                <w:kern w:val="0"/>
                <w:sz w:val="22"/>
                <w:szCs w:val="22"/>
                <w:highlight w:val="none"/>
              </w:rPr>
              <w:t>交通建设</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both"/>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rPr>
              <w:t>开展县道X221西常线和乡道Y020洞福线最美乡村“福”路创建工作，全段长约30公里。加快更新淘汰国三以下排放标准营运柴油货车，鼓励使用国六排放标准车辆。发展绿色公共交通，</w:t>
            </w:r>
            <w:r>
              <w:rPr>
                <w:rFonts w:hint="eastAsia" w:ascii="仿宋_GB2312" w:hAnsi="仿宋_GB2312" w:eastAsia="仿宋_GB2312" w:cs="仿宋_GB2312"/>
                <w:color w:val="000000"/>
                <w:kern w:val="0"/>
                <w:sz w:val="22"/>
                <w:szCs w:val="22"/>
                <w:highlight w:val="none"/>
                <w:lang w:eastAsia="zh-CN"/>
              </w:rPr>
              <w:t>新增新能源公交车</w:t>
            </w:r>
            <w:r>
              <w:rPr>
                <w:rFonts w:hint="eastAsia" w:ascii="仿宋_GB2312" w:hAnsi="仿宋_GB2312" w:eastAsia="仿宋_GB2312" w:cs="仿宋_GB2312"/>
                <w:color w:val="000000"/>
                <w:kern w:val="0"/>
                <w:sz w:val="22"/>
                <w:szCs w:val="22"/>
                <w:highlight w:val="none"/>
                <w:lang w:val="en-US" w:eastAsia="zh-CN"/>
              </w:rPr>
              <w:t>200辆。加快</w:t>
            </w:r>
            <w:r>
              <w:rPr>
                <w:rFonts w:hint="eastAsia" w:ascii="仿宋_GB2312" w:hAnsi="仿宋_GB2312" w:eastAsia="仿宋_GB2312" w:cs="仿宋_GB2312"/>
                <w:color w:val="000000"/>
                <w:kern w:val="0"/>
                <w:sz w:val="22"/>
                <w:szCs w:val="22"/>
              </w:rPr>
              <w:t>井盖、路口、辅道微改造</w:t>
            </w: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lang w:val="en-US" w:eastAsia="zh-CN"/>
              </w:rPr>
              <w:t>推进1—2个</w:t>
            </w:r>
            <w:r>
              <w:rPr>
                <w:rFonts w:hint="eastAsia" w:ascii="仿宋_GB2312" w:hAnsi="仿宋_GB2312" w:eastAsia="仿宋_GB2312" w:cs="仿宋_GB2312"/>
                <w:color w:val="000000"/>
                <w:kern w:val="0"/>
                <w:sz w:val="22"/>
                <w:szCs w:val="22"/>
              </w:rPr>
              <w:t>慢行示范区建设</w:t>
            </w:r>
            <w:r>
              <w:rPr>
                <w:rFonts w:hint="eastAsia" w:ascii="仿宋_GB2312" w:hAnsi="仿宋_GB2312" w:eastAsia="仿宋_GB2312" w:cs="仿宋_GB2312"/>
                <w:color w:val="000000"/>
                <w:kern w:val="0"/>
                <w:sz w:val="22"/>
                <w:szCs w:val="22"/>
                <w:lang w:eastAsia="zh-CN"/>
              </w:rPr>
              <w:t>。</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sz w:val="22"/>
                <w:szCs w:val="22"/>
                <w:lang w:val="en-US" w:eastAsia="zh-CN"/>
              </w:rPr>
              <w:t>持续</w:t>
            </w:r>
            <w:r>
              <w:rPr>
                <w:rFonts w:hint="eastAsia" w:ascii="仿宋_GB2312" w:hAnsi="仿宋_GB2312" w:eastAsia="仿宋_GB2312" w:cs="仿宋_GB2312"/>
                <w:color w:val="000000"/>
                <w:sz w:val="22"/>
                <w:szCs w:val="22"/>
              </w:rPr>
              <w:t>实施道路微整治、辅道微改造项目，完善交通基础设施</w:t>
            </w:r>
            <w:r>
              <w:rPr>
                <w:rFonts w:hint="eastAsia" w:ascii="仿宋_GB2312" w:hAnsi="仿宋_GB2312" w:eastAsia="仿宋_GB2312" w:cs="仿宋_GB2312"/>
                <w:color w:val="000000"/>
                <w:sz w:val="22"/>
                <w:szCs w:val="22"/>
                <w:lang w:eastAsia="zh-CN"/>
              </w:rPr>
              <w:t>。</w:t>
            </w:r>
            <w:r>
              <w:rPr>
                <w:rFonts w:hint="eastAsia" w:ascii="仿宋_GB2312" w:hAnsi="仿宋_GB2312" w:eastAsia="仿宋_GB2312" w:cs="仿宋_GB2312"/>
                <w:color w:val="000000"/>
                <w:sz w:val="22"/>
                <w:szCs w:val="22"/>
              </w:rPr>
              <w:t>合理布局城市慢行区，</w:t>
            </w:r>
            <w:r>
              <w:rPr>
                <w:rFonts w:hint="eastAsia" w:ascii="仿宋_GB2312" w:hAnsi="仿宋_GB2312" w:eastAsia="仿宋_GB2312" w:cs="仿宋_GB2312"/>
                <w:color w:val="000000"/>
                <w:kern w:val="0"/>
                <w:sz w:val="22"/>
                <w:szCs w:val="22"/>
                <w:highlight w:val="none"/>
                <w:lang w:val="en-US" w:eastAsia="zh-CN" w:bidi="ar-SA"/>
              </w:rPr>
              <w:t>形成“公交+慢行”绿色出行模式，建成步行和自行车友好城市。</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eastAsia="zh-CN"/>
              </w:rPr>
              <w:t>市城市管理局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eastAsia="zh-CN"/>
              </w:rPr>
              <w:t>交通运输局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rPr>
              <w:t>市</w:t>
            </w:r>
            <w:r>
              <w:rPr>
                <w:rFonts w:hint="eastAsia" w:ascii="仿宋_GB2312" w:hAnsi="仿宋_GB2312" w:eastAsia="仿宋_GB2312" w:cs="仿宋_GB2312"/>
                <w:color w:val="000000"/>
                <w:kern w:val="0"/>
                <w:sz w:val="22"/>
                <w:szCs w:val="22"/>
                <w:highlight w:val="none"/>
                <w:lang w:eastAsia="zh-CN"/>
              </w:rPr>
              <w:t>住建局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3276" w:hRule="atLeast"/>
          <w:jc w:val="center"/>
        </w:trPr>
        <w:tc>
          <w:tcPr>
            <w:tcW w:w="436"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lang w:val="en-US" w:eastAsia="zh-CN"/>
              </w:rPr>
              <w:t>10</w:t>
            </w:r>
          </w:p>
        </w:tc>
        <w:tc>
          <w:tcPr>
            <w:tcW w:w="2045" w:type="dxa"/>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rPr>
              <w:t>防灾能力提升</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Style w:val="15"/>
                <w:rFonts w:hint="eastAsia" w:ascii="仿宋_GB2312" w:hAnsi="仿宋_GB2312" w:eastAsia="仿宋_GB2312" w:cs="仿宋_GB2312"/>
                <w:color w:val="000000"/>
                <w:sz w:val="22"/>
                <w:szCs w:val="22"/>
                <w:highlight w:val="none"/>
                <w:lang w:val="en-US" w:eastAsia="zh-CN" w:bidi="ar"/>
              </w:rPr>
            </w:pPr>
            <w:r>
              <w:rPr>
                <w:rStyle w:val="15"/>
                <w:rFonts w:hint="eastAsia" w:ascii="仿宋_GB2312" w:hAnsi="仿宋_GB2312" w:eastAsia="仿宋_GB2312" w:cs="仿宋_GB2312"/>
                <w:color w:val="000000"/>
                <w:sz w:val="22"/>
                <w:szCs w:val="22"/>
                <w:highlight w:val="none"/>
                <w:lang w:val="en-US" w:eastAsia="zh-CN" w:bidi="ar"/>
              </w:rPr>
              <w:t>1.2026年，完成莆田市城区排涝（张镇）泵站工程。</w:t>
            </w:r>
          </w:p>
          <w:p>
            <w:pPr>
              <w:keepNext w:val="0"/>
              <w:keepLines w:val="0"/>
              <w:widowControl/>
              <w:suppressLineNumbers w:val="0"/>
              <w:overflowPunct w:val="0"/>
              <w:adjustRightInd w:val="0"/>
              <w:snapToGrid w:val="0"/>
              <w:spacing w:before="0" w:beforeAutospacing="0" w:after="0" w:afterAutospacing="0"/>
              <w:ind w:left="0" w:right="0"/>
              <w:rPr>
                <w:rStyle w:val="15"/>
                <w:rFonts w:hint="eastAsia" w:ascii="仿宋_GB2312" w:hAnsi="仿宋_GB2312" w:eastAsia="仿宋_GB2312" w:cs="仿宋_GB2312"/>
                <w:color w:val="000000"/>
                <w:sz w:val="22"/>
                <w:szCs w:val="22"/>
                <w:highlight w:val="none"/>
                <w:lang w:val="en-US" w:eastAsia="zh-CN" w:bidi="ar"/>
              </w:rPr>
            </w:pPr>
            <w:r>
              <w:rPr>
                <w:rStyle w:val="15"/>
                <w:rFonts w:hint="eastAsia" w:ascii="仿宋_GB2312" w:hAnsi="仿宋_GB2312" w:eastAsia="仿宋_GB2312" w:cs="仿宋_GB2312"/>
                <w:color w:val="000000"/>
                <w:sz w:val="22"/>
                <w:szCs w:val="22"/>
                <w:highlight w:val="none"/>
                <w:lang w:val="en-US" w:eastAsia="zh-CN" w:bidi="ar"/>
              </w:rPr>
              <w:t>2.开展城市燃气及市政基础设施安全风险排查整治工作。</w:t>
            </w:r>
          </w:p>
          <w:p>
            <w:pPr>
              <w:keepNext w:val="0"/>
              <w:keepLines w:val="0"/>
              <w:widowControl/>
              <w:suppressLineNumbers w:val="0"/>
              <w:overflowPunct w:val="0"/>
              <w:adjustRightInd w:val="0"/>
              <w:snapToGrid w:val="0"/>
              <w:spacing w:before="0" w:beforeAutospacing="0" w:after="0" w:afterAutospacing="0"/>
              <w:ind w:left="220" w:right="0" w:hanging="220" w:hangingChars="100"/>
              <w:rPr>
                <w:rFonts w:hint="eastAsia" w:ascii="仿宋_GB2312" w:hAnsi="仿宋_GB2312" w:eastAsia="仿宋_GB2312" w:cs="仿宋_GB2312"/>
                <w:color w:val="000000"/>
                <w:kern w:val="0"/>
                <w:sz w:val="22"/>
                <w:szCs w:val="22"/>
                <w:highlight w:val="none"/>
                <w:lang w:val="en-US" w:eastAsia="zh-CN" w:bidi="ar-SA"/>
              </w:rPr>
            </w:pPr>
            <w:r>
              <w:rPr>
                <w:rStyle w:val="15"/>
                <w:rFonts w:hint="eastAsia" w:ascii="仿宋_GB2312" w:hAnsi="仿宋_GB2312" w:eastAsia="仿宋_GB2312" w:cs="仿宋_GB2312"/>
                <w:color w:val="000000"/>
                <w:sz w:val="22"/>
                <w:szCs w:val="22"/>
                <w:highlight w:val="none"/>
                <w:lang w:val="en-US" w:eastAsia="zh-CN" w:bidi="ar"/>
              </w:rPr>
              <w:t>3.开展自然灾害综合风险调查数据更新，配合省应急管理厅、自然资源厅做好各县区自然灾害风险区划和防治区划。</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left"/>
              <w:rPr>
                <w:rStyle w:val="15"/>
                <w:rFonts w:hint="eastAsia" w:ascii="仿宋_GB2312" w:hAnsi="仿宋_GB2312" w:eastAsia="仿宋_GB2312" w:cs="仿宋_GB2312"/>
                <w:color w:val="000000"/>
                <w:sz w:val="22"/>
                <w:szCs w:val="22"/>
                <w:highlight w:val="none"/>
                <w:lang w:val="en-US" w:eastAsia="zh-CN" w:bidi="ar"/>
              </w:rPr>
            </w:pPr>
            <w:r>
              <w:rPr>
                <w:rStyle w:val="15"/>
                <w:rFonts w:hint="eastAsia" w:ascii="仿宋_GB2312" w:hAnsi="仿宋_GB2312" w:eastAsia="仿宋_GB2312" w:cs="仿宋_GB2312"/>
                <w:color w:val="000000"/>
                <w:sz w:val="22"/>
                <w:szCs w:val="22"/>
                <w:highlight w:val="none"/>
                <w:lang w:val="en-US" w:eastAsia="zh-CN" w:bidi="ar"/>
              </w:rPr>
              <w:t>1.在仙游县、荔城区、城厢区、涵江区、秀屿区、湄洲岛持续推进海绵城市建设。</w:t>
            </w:r>
          </w:p>
          <w:p>
            <w:pPr>
              <w:keepNext w:val="0"/>
              <w:keepLines w:val="0"/>
              <w:widowControl/>
              <w:suppressLineNumbers w:val="0"/>
              <w:overflowPunct w:val="0"/>
              <w:adjustRightInd w:val="0"/>
              <w:snapToGrid w:val="0"/>
              <w:spacing w:before="0" w:beforeAutospacing="0" w:after="0" w:afterAutospacing="0"/>
              <w:ind w:left="0" w:right="0"/>
              <w:jc w:val="left"/>
              <w:rPr>
                <w:rFonts w:hint="eastAsia" w:ascii="仿宋_GB2312" w:hAnsi="仿宋_GB2312" w:eastAsia="仿宋_GB2312" w:cs="仿宋_GB2312"/>
                <w:color w:val="000000"/>
                <w:lang w:val="en-US" w:eastAsia="zh-CN"/>
              </w:rPr>
            </w:pPr>
            <w:r>
              <w:rPr>
                <w:rStyle w:val="15"/>
                <w:rFonts w:hint="eastAsia" w:ascii="仿宋_GB2312" w:hAnsi="仿宋_GB2312" w:eastAsia="仿宋_GB2312" w:cs="仿宋_GB2312"/>
                <w:color w:val="000000"/>
                <w:sz w:val="22"/>
                <w:szCs w:val="22"/>
                <w:highlight w:val="none"/>
                <w:lang w:val="en-US" w:eastAsia="zh-CN" w:bidi="ar"/>
              </w:rPr>
              <w:t>2.建成</w:t>
            </w:r>
            <w:r>
              <w:rPr>
                <w:rStyle w:val="15"/>
                <w:rFonts w:hint="eastAsia" w:ascii="仿宋_GB2312" w:hAnsi="仿宋_GB2312" w:eastAsia="仿宋_GB2312" w:cs="仿宋_GB2312"/>
                <w:color w:val="000000"/>
                <w:sz w:val="22"/>
                <w:szCs w:val="22"/>
                <w:highlight w:val="none"/>
                <w:lang w:eastAsia="zh-CN" w:bidi="ar"/>
              </w:rPr>
              <w:t>木兰溪防洪工程（续建提升）</w:t>
            </w:r>
            <w:r>
              <w:rPr>
                <w:rStyle w:val="15"/>
                <w:rFonts w:hint="eastAsia" w:ascii="仿宋_GB2312" w:hAnsi="仿宋_GB2312" w:eastAsia="仿宋_GB2312" w:cs="仿宋_GB2312"/>
                <w:color w:val="000000"/>
                <w:sz w:val="22"/>
                <w:szCs w:val="22"/>
                <w:highlight w:val="none"/>
                <w:lang w:val="en-US" w:eastAsia="zh-CN" w:bidi="ar"/>
              </w:rPr>
              <w:t>和</w:t>
            </w:r>
            <w:r>
              <w:rPr>
                <w:rStyle w:val="15"/>
                <w:rFonts w:hint="eastAsia" w:ascii="仿宋_GB2312" w:hAnsi="仿宋_GB2312" w:eastAsia="仿宋_GB2312" w:cs="仿宋_GB2312"/>
                <w:color w:val="000000"/>
                <w:sz w:val="22"/>
                <w:szCs w:val="22"/>
                <w:highlight w:val="none"/>
                <w:lang w:eastAsia="zh-CN" w:bidi="ar"/>
              </w:rPr>
              <w:t>智慧木兰溪项目工程</w:t>
            </w:r>
            <w:r>
              <w:rPr>
                <w:rFonts w:hint="eastAsia" w:ascii="仿宋_GB2312" w:hAnsi="仿宋_GB2312" w:eastAsia="仿宋_GB2312" w:cs="仿宋_GB2312"/>
                <w:color w:val="000000"/>
                <w:kern w:val="0"/>
                <w:sz w:val="22"/>
                <w:szCs w:val="22"/>
                <w:lang w:val="en-US" w:eastAsia="zh-CN" w:bidi="ar-SA"/>
              </w:rPr>
              <w:t>，形成以气象灾害预警为先导的联动和全社会响应机制、极端天气防灾避险和气象灾害风险转移制度，全社会气象灾害风险防范意识和能力大幅度增强。</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lang w:eastAsia="zh-CN"/>
              </w:rPr>
              <w:t>住建局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lang w:eastAsia="zh-CN"/>
              </w:rPr>
              <w:t>城市管理局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lang w:eastAsia="zh-CN"/>
              </w:rPr>
              <w:t>水利局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lang w:eastAsia="zh-CN"/>
              </w:rPr>
              <w:t>自然资源局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lang w:eastAsia="zh-CN"/>
              </w:rPr>
              <w:t>海洋渔业局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lang w:eastAsia="zh-CN"/>
              </w:rPr>
              <w:t>气象局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lang w:eastAsia="zh-CN"/>
              </w:rPr>
              <w:t>林业局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lang w:eastAsia="zh-CN"/>
              </w:rPr>
              <w:t>交通运输局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eastAsia="zh-CN"/>
              </w:rPr>
              <w:t>市应急管理局</w:t>
            </w:r>
          </w:p>
          <w:p>
            <w:pPr>
              <w:keepNext w:val="0"/>
              <w:keepLines w:val="0"/>
              <w:widowControl/>
              <w:suppressLineNumbers w:val="0"/>
              <w:overflowPunct w:val="0"/>
              <w:adjustRightInd w:val="0"/>
              <w:snapToGrid w:val="0"/>
              <w:spacing w:before="0" w:beforeAutospacing="0" w:after="0" w:afterAutospacing="0"/>
              <w:ind w:left="0" w:right="0"/>
              <w:jc w:val="center"/>
              <w:rPr>
                <w:rFonts w:hint="default"/>
                <w:color w:val="000000"/>
                <w:lang w:val="en-US" w:eastAsia="zh-CN"/>
              </w:rPr>
            </w:pPr>
            <w:r>
              <w:rPr>
                <w:rFonts w:hint="eastAsia" w:ascii="仿宋_GB2312" w:hAnsi="仿宋_GB2312" w:eastAsia="仿宋_GB2312" w:cs="仿宋_GB2312"/>
                <w:color w:val="000000"/>
                <w:kern w:val="0"/>
                <w:sz w:val="22"/>
                <w:szCs w:val="22"/>
                <w:highlight w:val="none"/>
                <w:lang w:val="en-US" w:eastAsia="zh-CN"/>
              </w:rPr>
              <w:t>市地震局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461" w:hRule="atLeast"/>
          <w:jc w:val="center"/>
        </w:trPr>
        <w:tc>
          <w:tcPr>
            <w:tcW w:w="14174" w:type="dxa"/>
            <w:gridSpan w:val="5"/>
            <w:noWrap w:val="0"/>
            <w:vAlign w:val="center"/>
          </w:tcPr>
          <w:p>
            <w:pPr>
              <w:keepNext w:val="0"/>
              <w:keepLines w:val="0"/>
              <w:widowControl/>
              <w:suppressLineNumbers w:val="0"/>
              <w:overflowPunct w:val="0"/>
              <w:adjustRightInd w:val="0"/>
              <w:snapToGrid w:val="0"/>
              <w:spacing w:before="0" w:beforeAutospacing="0" w:after="0" w:afterAutospacing="0"/>
              <w:ind w:left="0" w:right="0"/>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color w:val="000000"/>
                <w:kern w:val="0"/>
                <w:sz w:val="22"/>
                <w:szCs w:val="22"/>
              </w:rPr>
              <w:t>二、美丽乡村建设工程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2137" w:hRule="exac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11</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农村饮水安全保障</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rPr>
              <w:t>仙游等地实施水源地保护项目，修复或新增水源地范围内物理护栏网、人工湿地、生态护岸、缓冲带、生态拦截沟渠等；持续推动水源地保护区环境问题整治与生态修复，保障饮水安全。优先选择监测农村饮水安全工程供水类型，其次是其他集中式供水和分散式供水。每个乡镇（除城关镇外）设置2～4个监测点</w:t>
            </w:r>
            <w:r>
              <w:rPr>
                <w:rFonts w:hint="eastAsia" w:ascii="仿宋_GB2312" w:hAnsi="仿宋_GB2312" w:eastAsia="仿宋_GB2312" w:cs="仿宋_GB2312"/>
                <w:color w:val="000000"/>
                <w:kern w:val="0"/>
                <w:sz w:val="22"/>
                <w:szCs w:val="22"/>
                <w:highlight w:val="none"/>
                <w:lang w:eastAsia="zh-CN"/>
              </w:rPr>
              <w:t>。</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rPr>
              <w:t>完善农村供水规范化水厂，稳步实施老旧设施和管网更新改造项目，建设智慧化农村饮用水水源地监控体系和水源稳定的供水工程保障体系。认真落实每年农村饮用水卫生监测工作，农村饮用水涵盖全市44个农村镇，覆盖率100%</w:t>
            </w:r>
            <w:r>
              <w:rPr>
                <w:rFonts w:hint="eastAsia" w:ascii="仿宋_GB2312" w:hAnsi="仿宋_GB2312" w:eastAsia="仿宋_GB2312" w:cs="仿宋_GB2312"/>
                <w:color w:val="000000"/>
                <w:kern w:val="0"/>
                <w:sz w:val="22"/>
                <w:szCs w:val="22"/>
                <w:highlight w:val="none"/>
                <w:lang w:eastAsia="zh-CN"/>
              </w:rPr>
              <w:t>。</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市生态环境局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rPr>
              <w:t>水利局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rPr>
              <w:t>农业农村局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rPr>
              <w:t>卫健委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1793" w:hRule="exac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12</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农村生活污水治理</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推进671个村庄农村生活污水治理提升项目，完善农村生活污水治理设施建设特别是支管、接户管等毛细血管建设，持续提升农村污水收集处置能力。</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实施已有设施提升改造项目和规范化运维项目，完善农村生活污水治理设施，优化农村生活污水处理设施进出水水质监测体系。巩固农村黑臭水体治理成果，高水平推进农村黑臭水体治理。</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市生态环境局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rPr>
              <w:t>农业农村局</w:t>
            </w:r>
          </w:p>
          <w:p>
            <w:pPr>
              <w:keepNext w:val="0"/>
              <w:keepLines w:val="0"/>
              <w:widowControl/>
              <w:suppressLineNumbers w:val="0"/>
              <w:overflowPunct w:val="0"/>
              <w:adjustRightInd w:val="0"/>
              <w:snapToGrid w:val="0"/>
              <w:spacing w:before="0" w:beforeAutospacing="0" w:after="0" w:afterAutospacing="0"/>
              <w:ind w:left="0" w:leftChars="0" w:right="0" w:firstLine="220" w:firstLineChars="100"/>
              <w:jc w:val="center"/>
              <w:rPr>
                <w:rFonts w:hint="eastAsia" w:ascii="仿宋_GB2312" w:hAnsi="仿宋_GB2312" w:eastAsia="仿宋_GB2312" w:cs="仿宋_GB2312"/>
                <w:color w:val="000000"/>
                <w:kern w:val="0"/>
                <w:sz w:val="22"/>
                <w:szCs w:val="22"/>
                <w:highlight w:val="none"/>
                <w:lang w:val="en-US" w:eastAsia="zh-CN" w:bidi="ar-SA"/>
              </w:rPr>
            </w:pPr>
            <w:r>
              <w:rPr>
                <w:rFonts w:hint="eastAsia" w:ascii="仿宋_GB2312" w:hAnsi="仿宋_GB2312" w:eastAsia="仿宋_GB2312" w:cs="仿宋_GB2312"/>
                <w:color w:val="000000"/>
                <w:kern w:val="0"/>
                <w:sz w:val="22"/>
                <w:szCs w:val="22"/>
                <w:highlight w:val="none"/>
                <w:lang w:val="en-US" w:eastAsia="zh-CN" w:bidi="ar-SA"/>
              </w:rPr>
              <w:t>市住建局</w:t>
            </w:r>
          </w:p>
          <w:p>
            <w:pPr>
              <w:keepNext w:val="0"/>
              <w:keepLines w:val="0"/>
              <w:widowControl/>
              <w:suppressLineNumbers w:val="0"/>
              <w:overflowPunct w:val="0"/>
              <w:adjustRightInd w:val="0"/>
              <w:snapToGrid w:val="0"/>
              <w:spacing w:before="0" w:beforeAutospacing="0" w:after="0" w:afterAutospacing="0"/>
              <w:ind w:left="0" w:leftChars="0" w:right="0" w:firstLine="220" w:firstLineChars="100"/>
              <w:jc w:val="center"/>
              <w:rPr>
                <w:rFonts w:hint="eastAsia"/>
                <w:color w:val="000000"/>
              </w:rPr>
            </w:pPr>
            <w:r>
              <w:rPr>
                <w:rFonts w:hint="eastAsia" w:ascii="仿宋_GB2312" w:hAnsi="仿宋_GB2312" w:eastAsia="仿宋_GB2312" w:cs="仿宋_GB2312"/>
                <w:color w:val="000000"/>
                <w:kern w:val="0"/>
                <w:sz w:val="22"/>
                <w:szCs w:val="22"/>
                <w:highlight w:val="none"/>
                <w:lang w:val="en-US" w:eastAsia="zh-CN" w:bidi="ar-SA"/>
              </w:rPr>
              <w:t>市卫健委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2937" w:hRule="exac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13</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农村生活垃圾处理</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持续严格按照“</w:t>
            </w:r>
            <w:r>
              <w:rPr>
                <w:rFonts w:hint="eastAsia" w:ascii="仿宋_GB2312" w:hAnsi="仿宋_GB2312" w:eastAsia="仿宋_GB2312" w:cs="仿宋_GB2312"/>
                <w:color w:val="000000"/>
                <w:kern w:val="0"/>
                <w:sz w:val="22"/>
                <w:szCs w:val="22"/>
                <w:highlight w:val="none"/>
                <w:lang w:val="en-US" w:eastAsia="zh-CN"/>
              </w:rPr>
              <w:t>五</w:t>
            </w:r>
            <w:r>
              <w:rPr>
                <w:rFonts w:hint="eastAsia" w:ascii="仿宋_GB2312" w:hAnsi="仿宋_GB2312" w:eastAsia="仿宋_GB2312" w:cs="仿宋_GB2312"/>
                <w:color w:val="000000"/>
                <w:kern w:val="0"/>
                <w:sz w:val="22"/>
                <w:szCs w:val="22"/>
                <w:highlight w:val="none"/>
              </w:rPr>
              <w:t>有标准”即有完备的设施设备、有成熟的治理技术、有稳定的保洁队伍、有完善的监管制度、有长效的资金保障，落实村庄生活垃圾治理常态机制，实现农村生活垃圾日产日清并统一进行焚烧无害化处理，无害化处理率达100%。逐年新增一定数量的乡镇（街道）按照“六有机制”即有县乡工作机制、有宣传发动、有有机垃圾处理设备或设施、有资金保障、有减量成效、有召开现场会总结推广，全镇域落实农村生活垃圾分类机制。</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进一步提升农村生活垃圾常态化治理机制，农村有机生活垃圾生态处理机制基本建立。</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市城市管理局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rPr>
              <w:t>农业农村局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2135" w:hRule="exac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14</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林业生态碳汇提升</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eastAsia="zh-CN"/>
              </w:rPr>
              <w:t>开展林业碳汇本底调查。实施木兰溪全流域国土绿化试点示范项目，项目区年增碳汇量</w:t>
            </w:r>
            <w:r>
              <w:rPr>
                <w:rFonts w:hint="eastAsia" w:ascii="仿宋_GB2312" w:hAnsi="仿宋_GB2312" w:eastAsia="仿宋_GB2312" w:cs="仿宋_GB2312"/>
                <w:color w:val="000000"/>
                <w:kern w:val="0"/>
                <w:sz w:val="22"/>
                <w:szCs w:val="22"/>
                <w:highlight w:val="none"/>
                <w:lang w:val="en-US" w:eastAsia="zh-CN"/>
              </w:rPr>
              <w:t>6万吨。</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持续推进森林碳汇重点生态工程项目，鼓励企业注资造林增汇项目，完善森林碳汇市场机制。</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市林业局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rPr>
              <w:t>发改委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1494"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15</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农业生态碳汇提升</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lang w:eastAsia="zh-CN"/>
              </w:rPr>
              <w:t>全市畜禽粪污综合利用率保持在93%以上，秸秆综合利用率保持在90%以上，农药包装废弃物回收率达到80%。推进渔业碳汇交易。</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lang w:val="en-US" w:eastAsia="zh-CN"/>
              </w:rPr>
              <w:t>探索</w:t>
            </w:r>
            <w:r>
              <w:rPr>
                <w:rFonts w:hint="eastAsia" w:ascii="仿宋_GB2312" w:hAnsi="仿宋_GB2312" w:eastAsia="仿宋_GB2312" w:cs="仿宋_GB2312"/>
                <w:color w:val="000000"/>
                <w:kern w:val="0"/>
                <w:sz w:val="22"/>
                <w:szCs w:val="22"/>
                <w:highlight w:val="none"/>
              </w:rPr>
              <w:t>建立渔业碳汇交易机制</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完善农业碳汇服务机制，探索农业碳汇发展新模式</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lang w:val="en-US" w:eastAsia="zh-CN"/>
              </w:rPr>
              <w:t>并</w:t>
            </w:r>
            <w:r>
              <w:rPr>
                <w:rFonts w:hint="eastAsia" w:ascii="仿宋_GB2312" w:hAnsi="仿宋_GB2312" w:eastAsia="仿宋_GB2312" w:cs="仿宋_GB2312"/>
                <w:color w:val="000000"/>
                <w:kern w:val="0"/>
                <w:sz w:val="22"/>
                <w:szCs w:val="22"/>
                <w:highlight w:val="none"/>
              </w:rPr>
              <w:t>完成省</w:t>
            </w:r>
            <w:r>
              <w:rPr>
                <w:rFonts w:hint="eastAsia" w:ascii="仿宋_GB2312" w:hAnsi="仿宋_GB2312" w:cs="仿宋_GB2312"/>
                <w:color w:val="000000"/>
                <w:kern w:val="0"/>
                <w:sz w:val="22"/>
                <w:szCs w:val="22"/>
                <w:highlight w:val="none"/>
                <w:lang w:eastAsia="zh-CN"/>
              </w:rPr>
              <w:t>农业农村厅、生态环境厅、海洋与渔业局</w:t>
            </w:r>
            <w:r>
              <w:rPr>
                <w:rFonts w:hint="eastAsia" w:ascii="仿宋_GB2312" w:hAnsi="仿宋_GB2312" w:eastAsia="仿宋_GB2312" w:cs="仿宋_GB2312"/>
                <w:color w:val="000000"/>
                <w:kern w:val="0"/>
                <w:sz w:val="22"/>
                <w:szCs w:val="22"/>
                <w:highlight w:val="none"/>
              </w:rPr>
              <w:t>下达的任务。</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市农业农村局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lang w:eastAsia="zh-CN"/>
              </w:rPr>
              <w:t>生态环境局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rPr>
              <w:t>海洋渔业局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1714"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16</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养殖绿色循环发展</w:t>
            </w:r>
          </w:p>
        </w:tc>
        <w:tc>
          <w:tcPr>
            <w:tcW w:w="6111" w:type="dxa"/>
            <w:noWrap w:val="0"/>
            <w:vAlign w:val="center"/>
          </w:tcPr>
          <w:p>
            <w:pPr>
              <w:keepNext w:val="0"/>
              <w:keepLines w:val="0"/>
              <w:widowControl/>
              <w:numPr>
                <w:ilvl w:val="0"/>
                <w:numId w:val="0"/>
              </w:numPr>
              <w:suppressLineNumbers w:val="0"/>
              <w:overflowPunct w:val="0"/>
              <w:adjustRightInd w:val="0"/>
              <w:snapToGrid w:val="0"/>
              <w:spacing w:before="0" w:beforeAutospacing="0" w:after="0" w:afterAutospacing="0"/>
              <w:ind w:left="0" w:right="0"/>
              <w:jc w:val="both"/>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kern w:val="0"/>
                <w:sz w:val="22"/>
                <w:szCs w:val="22"/>
                <w:highlight w:val="none"/>
              </w:rPr>
              <w:t>大力倡导发展生态养殖业，因地制宜地建设粪污收集、贮存、处理、利用设施，实现粪污资源化利用，从而促进畜禽养殖业的持续健康发展。建立起空间布局合理、种养结合紧密、粪污高效利用、污染治理能力显著提升、污染排放有效控制的畜牧业发展与污染防治格局。</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推进畜禽粪污资源化利用，提高畜禽养殖粪污综合利用水平。</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市农业农村局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2"/>
                <w:szCs w:val="28"/>
                <w:lang w:val="en-US"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rPr>
              <w:t>生态环境局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1331"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17</w:t>
            </w:r>
          </w:p>
        </w:tc>
        <w:tc>
          <w:tcPr>
            <w:tcW w:w="2045" w:type="dxa"/>
            <w:noWrap w:val="0"/>
            <w:vAlign w:val="center"/>
          </w:tcPr>
          <w:p>
            <w:pPr>
              <w:keepNext w:val="0"/>
              <w:keepLines w:val="0"/>
              <w:widowControl/>
              <w:numPr>
                <w:ilvl w:val="0"/>
                <w:numId w:val="0"/>
              </w:numPr>
              <w:suppressLineNumbers w:val="0"/>
              <w:overflowPunct w:val="0"/>
              <w:adjustRightInd w:val="0"/>
              <w:snapToGrid w:val="0"/>
              <w:spacing w:before="0" w:beforeAutospacing="0" w:after="0" w:afterAutospacing="0"/>
              <w:ind w:left="0" w:right="0"/>
              <w:jc w:val="both"/>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耕地保护安全利用</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lang w:eastAsia="zh-CN" w:bidi="ar-SA"/>
              </w:rPr>
            </w:pPr>
            <w:r>
              <w:rPr>
                <w:rFonts w:hint="eastAsia" w:ascii="仿宋_GB2312" w:hAnsi="仿宋_GB2312" w:eastAsia="仿宋_GB2312" w:cs="仿宋_GB2312"/>
                <w:color w:val="000000"/>
                <w:kern w:val="0"/>
                <w:sz w:val="22"/>
                <w:szCs w:val="22"/>
                <w:highlight w:val="none"/>
                <w:lang w:eastAsia="zh-CN" w:bidi="ar-SA"/>
              </w:rPr>
              <w:t>1.实施耕地质量保护提升项目，推广施用有机肥50万亩（次）以上，提高耕地质量。实施高标准农田建设项目。</w:t>
            </w:r>
          </w:p>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lang w:eastAsia="zh-CN" w:bidi="ar-SA"/>
              </w:rPr>
              <w:t>2.受污染耕地安全利用率保持在93%以上。</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完善覆盖农产品的质量安全追溯网络；实施耕地质量保护提升项目，提高土壤有机质含量。</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市农业农村局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rPr>
              <w:t>自然资源局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rPr>
              <w:t>生态环境局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1962" w:hRule="exac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18</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水土流失精准治理</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持续推进水土流失精准治理，围绕林地，综合实施封禁、造林、草灌乔混交等措施；围绕山地，实施茶果园坡耕地改造。因地制宜实施生态护岸、清淤、岸边绿化美化、水保生态园等措施，打造水土保持生态清洁型小流域。</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深入实施山水林田湖草沙系统治理，充分利用水土流失治理成果发展旅游业。探索“绿水青山”转化为“金山银山”的有效路径，提升水保产业发展水平，推动绿水青山的生态优势持续转化为经济优势。</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市水利局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lang w:val="en-US" w:eastAsia="zh-CN"/>
              </w:rPr>
              <w:t>林业局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2895"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19</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传统村落保护利用</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lang w:val="en-US" w:eastAsia="zh-CN"/>
              </w:rPr>
              <w:t>启动洋尾村、九峰村等传统村落重点历史建筑和传统风貌建筑修缮工程，保护好、传承好和利用好乡村历史文脉。2025年至2027年每年推进1个历史文化名镇名村传统村落整治提升。</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加大传统村落保护利用力度，实施重点历史建筑和传统风貌建筑修缮项目，保护利用和改善提升历史文化名镇、名村和传统村落整体风貌，力争全面完成省级以上传统村落整治提升</w:t>
            </w:r>
            <w:r>
              <w:rPr>
                <w:rFonts w:hint="eastAsia" w:ascii="仿宋_GB2312" w:hAnsi="仿宋_GB2312" w:eastAsia="仿宋_GB2312" w:cs="仿宋_GB2312"/>
                <w:color w:val="000000"/>
                <w:kern w:val="0"/>
                <w:sz w:val="22"/>
                <w:szCs w:val="22"/>
                <w:highlight w:val="none"/>
                <w:lang w:eastAsia="zh-CN"/>
              </w:rPr>
              <w:t>。</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市住建局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rPr>
              <w:t>自然资源局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rPr>
              <w:t>文旅局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4188" w:hRule="exac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20</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highlight w:val="none"/>
              </w:rPr>
              <w:t>生态惠民富民利民</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lang w:val="en-US" w:eastAsia="zh-CN"/>
              </w:rPr>
              <w:t>实施“+旅游”，大力培育发展红色文化教育、山海休闲、乡村民宿、工业旅游、研学体验等新业态，积极创建福建省“全域生态旅游小镇”“金牌旅游村”观光工厂，开展第二批莆田市“全域生态旅游小镇”“金牌旅游村”观光工厂。推进森林公园、森林步道改造、提升等生态产品共享工程。到2027年改造提升森林公园2个，新建、改造森林步道15公里。</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lang w:val="en-US" w:eastAsia="zh-CN"/>
              </w:rPr>
              <w:t>鼓励各县区（管委会）结合实际，培育若干个特色精品夜市，融入夜游、夜娱、夜秀、夜购、美食、特色民宿等业态，培育“微旅游”套餐消费市场，举办“深夜食堂”、灯光秀、文艺演出等夜间主题活动。持续推进森林公园、森林步道改造、提升等生态产品共享工程建设。持续开展木兰溪流域、水源保护区、自然保护地、环城一重山、天然林等重点生态区位商品林赎买，优先转为生态公益林，促进“生态得绿、林农得利”。</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lang w:val="en-US" w:eastAsia="zh-CN"/>
              </w:rPr>
              <w:t>文旅局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lang w:val="en-US" w:eastAsia="zh-CN"/>
              </w:rPr>
              <w:t>海洋渔业局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highlight w:val="none"/>
                <w:lang w:val="en-US" w:eastAsia="zh-CN"/>
              </w:rPr>
              <w:t>林业局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534" w:hRule="atLeast"/>
          <w:jc w:val="center"/>
        </w:trPr>
        <w:tc>
          <w:tcPr>
            <w:tcW w:w="14174" w:type="dxa"/>
            <w:gridSpan w:val="5"/>
            <w:noWrap w:val="0"/>
            <w:vAlign w:val="center"/>
          </w:tcPr>
          <w:p>
            <w:pPr>
              <w:keepNext w:val="0"/>
              <w:keepLines w:val="0"/>
              <w:widowControl/>
              <w:suppressLineNumbers w:val="0"/>
              <w:overflowPunct w:val="0"/>
              <w:adjustRightInd w:val="0"/>
              <w:snapToGrid w:val="0"/>
              <w:spacing w:before="0" w:beforeAutospacing="0" w:after="0" w:afterAutospacing="0"/>
              <w:ind w:left="0" w:right="0"/>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color w:val="000000"/>
                <w:kern w:val="0"/>
                <w:sz w:val="22"/>
                <w:szCs w:val="22"/>
              </w:rPr>
              <w:t>三、美丽河湖建设工程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682"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21</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水源涵养能力提升</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lang w:val="en-US" w:eastAsia="zh-CN"/>
              </w:rPr>
              <w:t>1</w:t>
            </w:r>
            <w:r>
              <w:rPr>
                <w:rFonts w:hint="eastAsia" w:ascii="仿宋_GB2312" w:hAnsi="仿宋_GB2312" w:eastAsia="仿宋_GB2312" w:cs="仿宋_GB2312"/>
                <w:color w:val="000000"/>
                <w:kern w:val="0"/>
                <w:sz w:val="22"/>
                <w:szCs w:val="22"/>
                <w:highlight w:val="none"/>
                <w:lang w:val="en-US" w:eastAsia="zh-CN"/>
              </w:rPr>
              <w:t>.2025年，</w:t>
            </w:r>
            <w:r>
              <w:rPr>
                <w:rFonts w:hint="eastAsia" w:ascii="仿宋_GB2312" w:hAnsi="仿宋_GB2312" w:eastAsia="仿宋_GB2312" w:cs="仿宋_GB2312"/>
                <w:color w:val="000000"/>
                <w:kern w:val="0"/>
                <w:sz w:val="22"/>
                <w:szCs w:val="22"/>
                <w:highlight w:val="none"/>
              </w:rPr>
              <w:t>实施</w:t>
            </w:r>
            <w:r>
              <w:rPr>
                <w:rFonts w:hint="eastAsia" w:ascii="仿宋_GB2312" w:hAnsi="仿宋_GB2312" w:eastAsia="仿宋_GB2312" w:cs="仿宋_GB2312"/>
                <w:color w:val="000000"/>
                <w:kern w:val="0"/>
                <w:sz w:val="22"/>
                <w:szCs w:val="22"/>
                <w:highlight w:val="none"/>
                <w:lang w:val="en-US" w:eastAsia="zh-CN"/>
              </w:rPr>
              <w:t>完成</w:t>
            </w:r>
            <w:r>
              <w:rPr>
                <w:rFonts w:hint="eastAsia" w:ascii="仿宋_GB2312" w:hAnsi="仿宋_GB2312" w:eastAsia="仿宋_GB2312" w:cs="仿宋_GB2312"/>
                <w:color w:val="000000"/>
                <w:kern w:val="0"/>
                <w:sz w:val="22"/>
                <w:szCs w:val="22"/>
                <w:highlight w:val="none"/>
              </w:rPr>
              <w:t>木兰溪全流域国土绿化试点示范项目、木兰溪流域森林生态修复项目。</w:t>
            </w:r>
          </w:p>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highlight w:val="none"/>
              </w:rPr>
              <w:t>2.</w:t>
            </w:r>
            <w:r>
              <w:rPr>
                <w:rFonts w:hint="eastAsia" w:ascii="仿宋_GB2312" w:hAnsi="仿宋_GB2312" w:eastAsia="仿宋_GB2312" w:cs="仿宋_GB2312"/>
                <w:color w:val="000000"/>
                <w:kern w:val="0"/>
                <w:sz w:val="22"/>
                <w:szCs w:val="22"/>
                <w:highlight w:val="none"/>
                <w:lang w:val="en-US" w:eastAsia="zh-CN"/>
              </w:rPr>
              <w:t>推进</w:t>
            </w:r>
            <w:r>
              <w:rPr>
                <w:rFonts w:hint="eastAsia" w:ascii="仿宋_GB2312" w:hAnsi="仿宋_GB2312" w:eastAsia="仿宋_GB2312" w:cs="仿宋_GB2312"/>
                <w:color w:val="000000"/>
                <w:kern w:val="0"/>
                <w:sz w:val="22"/>
                <w:szCs w:val="22"/>
                <w:highlight w:val="none"/>
              </w:rPr>
              <w:t>木兰溪森林生态屏障修复、木兰溪支流延寿溪流域水生态修复、木兰溪流域（度尾段）水生态环境治理</w:t>
            </w:r>
            <w:r>
              <w:rPr>
                <w:rFonts w:hint="eastAsia" w:ascii="仿宋_GB2312" w:hAnsi="仿宋_GB2312" w:eastAsia="仿宋_GB2312" w:cs="仿宋_GB2312"/>
                <w:color w:val="000000"/>
                <w:kern w:val="0"/>
                <w:sz w:val="22"/>
                <w:szCs w:val="22"/>
                <w:highlight w:val="none"/>
                <w:lang w:val="en-US" w:eastAsia="zh-CN"/>
              </w:rPr>
              <w:t>和</w:t>
            </w:r>
            <w:r>
              <w:rPr>
                <w:rFonts w:hint="eastAsia" w:ascii="仿宋_GB2312" w:hAnsi="仿宋_GB2312" w:eastAsia="仿宋_GB2312" w:cs="仿宋_GB2312"/>
                <w:color w:val="000000"/>
                <w:kern w:val="0"/>
                <w:sz w:val="22"/>
                <w:szCs w:val="22"/>
                <w:highlight w:val="none"/>
              </w:rPr>
              <w:t>木兰溪支流柴桥头溪流域水环境综合整治等生态修复工程。</w:t>
            </w:r>
          </w:p>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w:t>
            </w:r>
            <w:r>
              <w:rPr>
                <w:rFonts w:hint="eastAsia" w:ascii="仿宋_GB2312" w:hAnsi="仿宋_GB2312" w:eastAsia="仿宋_GB2312" w:cs="仿宋_GB2312"/>
                <w:color w:val="000000"/>
                <w:kern w:val="0"/>
                <w:sz w:val="22"/>
                <w:szCs w:val="22"/>
                <w:lang w:val="en-US" w:eastAsia="zh-CN"/>
              </w:rPr>
              <w:t>实施东圳水库、金钟水库生态修复和保护工程，通过实施库区主要入库河流沿线河滩湿地修复工程，提高饮用水源水体自净能力。</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val="en-US" w:eastAsia="zh-CN"/>
              </w:rPr>
              <w:t>1.2028年，完成</w:t>
            </w:r>
            <w:r>
              <w:rPr>
                <w:rFonts w:hint="eastAsia" w:ascii="仿宋_GB2312" w:hAnsi="仿宋_GB2312" w:eastAsia="仿宋_GB2312" w:cs="仿宋_GB2312"/>
                <w:color w:val="000000"/>
                <w:kern w:val="0"/>
                <w:sz w:val="22"/>
                <w:szCs w:val="22"/>
              </w:rPr>
              <w:t>木兰溪下游水生态综合治理与修复</w:t>
            </w:r>
            <w:r>
              <w:rPr>
                <w:rFonts w:hint="eastAsia" w:ascii="仿宋_GB2312" w:hAnsi="仿宋_GB2312" w:eastAsia="仿宋_GB2312" w:cs="仿宋_GB2312"/>
                <w:color w:val="000000"/>
                <w:kern w:val="0"/>
                <w:sz w:val="22"/>
                <w:szCs w:val="22"/>
                <w:lang w:eastAsia="zh-CN"/>
              </w:rPr>
              <w:t>。</w:t>
            </w:r>
          </w:p>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2.实施</w:t>
            </w:r>
            <w:r>
              <w:rPr>
                <w:rFonts w:hint="eastAsia" w:ascii="仿宋_GB2312" w:hAnsi="仿宋_GB2312" w:eastAsia="仿宋_GB2312" w:cs="仿宋_GB2312"/>
                <w:color w:val="000000"/>
                <w:kern w:val="0"/>
                <w:sz w:val="22"/>
                <w:szCs w:val="22"/>
              </w:rPr>
              <w:t>重点流域源头区涵养林保护建设等涵养能力建设项目，实施低效林改造提升项目。</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生态环境</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林业局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水利</w:t>
            </w:r>
            <w:r>
              <w:rPr>
                <w:rFonts w:hint="eastAsia" w:ascii="仿宋_GB2312" w:hAnsi="仿宋_GB2312" w:eastAsia="仿宋_GB2312" w:cs="仿宋_GB2312"/>
                <w:color w:val="000000"/>
                <w:kern w:val="0"/>
                <w:sz w:val="22"/>
                <w:szCs w:val="22"/>
                <w:lang w:eastAsia="zh-CN"/>
              </w:rPr>
              <w:t>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2483" w:hRule="exact"/>
          <w:jc w:val="center"/>
        </w:trPr>
        <w:tc>
          <w:tcPr>
            <w:tcW w:w="436" w:type="dxa"/>
            <w:tcBorders>
              <w:bottom w:val="single" w:color="auto" w:sz="2" w:space="0"/>
            </w:tcBorders>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22</w:t>
            </w:r>
          </w:p>
        </w:tc>
        <w:tc>
          <w:tcPr>
            <w:tcW w:w="2045" w:type="dxa"/>
            <w:tcBorders>
              <w:bottom w:val="single" w:color="auto" w:sz="2" w:space="0"/>
            </w:tcBorders>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水资源优化配置</w:t>
            </w:r>
          </w:p>
        </w:tc>
        <w:tc>
          <w:tcPr>
            <w:tcW w:w="6111" w:type="dxa"/>
            <w:tcBorders>
              <w:bottom w:val="single" w:color="auto" w:sz="2" w:space="0"/>
            </w:tcBorders>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1</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开展东圳、金钟、外度等重点湖库藻类专项研究并提出防控措施。</w:t>
            </w:r>
          </w:p>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kern w:val="0"/>
                <w:sz w:val="22"/>
                <w:szCs w:val="22"/>
                <w:highlight w:val="none"/>
                <w:lang w:val="en-US" w:eastAsia="zh-CN"/>
              </w:rPr>
              <w:t>2.</w:t>
            </w:r>
            <w:r>
              <w:rPr>
                <w:rFonts w:hint="eastAsia" w:ascii="仿宋_GB2312" w:hAnsi="仿宋_GB2312" w:eastAsia="仿宋_GB2312" w:cs="仿宋_GB2312"/>
                <w:color w:val="000000"/>
                <w:kern w:val="0"/>
                <w:sz w:val="22"/>
                <w:szCs w:val="22"/>
                <w:highlight w:val="none"/>
              </w:rPr>
              <w:t>加快完成涵江区萩芦溪西音水库建设工程。</w:t>
            </w:r>
          </w:p>
        </w:tc>
        <w:tc>
          <w:tcPr>
            <w:tcW w:w="3944" w:type="dxa"/>
            <w:tcBorders>
              <w:bottom w:val="single" w:color="auto" w:sz="2" w:space="0"/>
            </w:tcBorders>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rPr>
              <w:t>1.</w:t>
            </w:r>
            <w:r>
              <w:rPr>
                <w:rFonts w:hint="eastAsia" w:ascii="仿宋_GB2312" w:hAnsi="仿宋_GB2312" w:eastAsia="仿宋_GB2312" w:cs="仿宋_GB2312"/>
                <w:color w:val="000000"/>
                <w:kern w:val="0"/>
                <w:sz w:val="22"/>
                <w:szCs w:val="22"/>
                <w:highlight w:val="none"/>
              </w:rPr>
              <w:t>实施完成东圳水利枢纽引水配套工程</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lang w:val="en-US" w:eastAsia="zh-CN"/>
              </w:rPr>
              <w:t>闽江口城市群水资源配置提质增效（莆田线）工程</w:t>
            </w:r>
            <w:r>
              <w:rPr>
                <w:rFonts w:hint="eastAsia" w:ascii="仿宋_GB2312" w:hAnsi="仿宋_GB2312" w:eastAsia="仿宋_GB2312" w:cs="仿宋_GB2312"/>
                <w:color w:val="000000"/>
                <w:kern w:val="0"/>
                <w:sz w:val="22"/>
                <w:szCs w:val="22"/>
                <w:highlight w:val="none"/>
              </w:rPr>
              <w:t>等项目</w:t>
            </w:r>
            <w:r>
              <w:rPr>
                <w:rFonts w:hint="eastAsia" w:ascii="仿宋_GB2312" w:hAnsi="仿宋_GB2312" w:eastAsia="仿宋_GB2312" w:cs="仿宋_GB2312"/>
                <w:color w:val="000000"/>
                <w:kern w:val="0"/>
                <w:sz w:val="22"/>
                <w:szCs w:val="22"/>
                <w:highlight w:val="none"/>
                <w:lang w:eastAsia="zh-CN"/>
              </w:rPr>
              <w:t>。</w:t>
            </w:r>
          </w:p>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yellow"/>
              </w:rPr>
            </w:pPr>
            <w:r>
              <w:rPr>
                <w:rFonts w:hint="eastAsia" w:ascii="仿宋_GB2312" w:hAnsi="仿宋_GB2312" w:eastAsia="仿宋_GB2312" w:cs="仿宋_GB2312"/>
                <w:color w:val="000000"/>
                <w:kern w:val="0"/>
                <w:sz w:val="22"/>
                <w:szCs w:val="22"/>
                <w:highlight w:val="none"/>
                <w:lang w:val="en-US" w:eastAsia="zh-CN"/>
              </w:rPr>
              <w:t>2.</w:t>
            </w:r>
            <w:r>
              <w:rPr>
                <w:rFonts w:hint="eastAsia" w:ascii="仿宋_GB2312" w:hAnsi="仿宋_GB2312" w:eastAsia="仿宋_GB2312" w:cs="仿宋_GB2312"/>
                <w:color w:val="000000"/>
                <w:kern w:val="0"/>
                <w:sz w:val="22"/>
                <w:szCs w:val="22"/>
                <w:highlight w:val="none"/>
              </w:rPr>
              <w:t>将生态用水纳入流域和区域水资源配置进行统一管理，形成纵横互济、丰枯调剂、多源互补、集约高效、安全可靠的现代化水网，全市水资源统筹调配能力、供水保障能力进一步增强。</w:t>
            </w:r>
          </w:p>
        </w:tc>
        <w:tc>
          <w:tcPr>
            <w:tcW w:w="1638" w:type="dxa"/>
            <w:tcBorders>
              <w:bottom w:val="single" w:color="auto" w:sz="2" w:space="0"/>
            </w:tcBorders>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水利</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lang w:val="en-US" w:eastAsia="zh-CN"/>
              </w:rPr>
              <w:t>生态环境局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发改委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1584" w:hRule="exac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23</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水资源节约利用</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完成闽中污水处理厂、湄洲岛污水处理厂</w:t>
            </w:r>
            <w:r>
              <w:rPr>
                <w:rFonts w:hint="eastAsia" w:ascii="仿宋_GB2312" w:hAnsi="仿宋_GB2312" w:eastAsia="仿宋_GB2312" w:cs="仿宋_GB2312"/>
                <w:color w:val="000000"/>
                <w:kern w:val="0"/>
                <w:sz w:val="22"/>
                <w:szCs w:val="22"/>
              </w:rPr>
              <w:t>再生水循环利用示范项目</w:t>
            </w: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lang w:val="en-US" w:eastAsia="zh-CN"/>
              </w:rPr>
              <w:t>推进</w:t>
            </w:r>
            <w:r>
              <w:rPr>
                <w:rFonts w:hint="eastAsia" w:ascii="仿宋_GB2312" w:hAnsi="仿宋_GB2312" w:eastAsia="仿宋_GB2312" w:cs="仿宋_GB2312"/>
                <w:color w:val="000000"/>
                <w:kern w:val="0"/>
                <w:sz w:val="22"/>
                <w:szCs w:val="22"/>
              </w:rPr>
              <w:t>地下水源供水型城市水源替代项目；鼓励乡镇建设农田氮磷生态拦截沟渠；推进“五大节水行动”，促进水资源合理开发利用和节约保护。到202</w:t>
            </w:r>
            <w:r>
              <w:rPr>
                <w:rFonts w:hint="eastAsia" w:ascii="仿宋_GB2312" w:hAnsi="仿宋_GB2312" w:eastAsia="仿宋_GB2312" w:cs="仿宋_GB2312"/>
                <w:color w:val="000000"/>
                <w:kern w:val="0"/>
                <w:sz w:val="22"/>
                <w:szCs w:val="22"/>
                <w:lang w:val="en-US" w:eastAsia="zh-CN"/>
              </w:rPr>
              <w:t>7</w:t>
            </w:r>
            <w:r>
              <w:rPr>
                <w:rFonts w:hint="eastAsia" w:ascii="仿宋_GB2312" w:hAnsi="仿宋_GB2312" w:eastAsia="仿宋_GB2312" w:cs="仿宋_GB2312"/>
                <w:color w:val="000000"/>
                <w:kern w:val="0"/>
                <w:sz w:val="22"/>
                <w:szCs w:val="22"/>
              </w:rPr>
              <w:t>年，力争每年新增高效节水灌溉面积不少于35公顷。</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推进再生水循环利用项目，实施农业节水增效、工业节水减排、城镇节水降损、主城区节水开源、节水标杆示范引领等项目。</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水利</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工信</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农业农村</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住建</w:t>
            </w:r>
            <w:r>
              <w:rPr>
                <w:rFonts w:hint="eastAsia" w:ascii="仿宋_GB2312" w:hAnsi="仿宋_GB2312" w:eastAsia="仿宋_GB2312" w:cs="仿宋_GB2312"/>
                <w:color w:val="000000"/>
                <w:kern w:val="0"/>
                <w:sz w:val="22"/>
                <w:szCs w:val="22"/>
                <w:lang w:eastAsia="zh-CN"/>
              </w:rPr>
              <w:t>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1592" w:hRule="exac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24</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河湖生态流量保障</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yellow"/>
              </w:rPr>
            </w:pPr>
            <w:r>
              <w:rPr>
                <w:rFonts w:hint="eastAsia" w:ascii="仿宋_GB2312" w:hAnsi="仿宋_GB2312" w:eastAsia="仿宋_GB2312" w:cs="仿宋_GB2312"/>
                <w:color w:val="000000"/>
                <w:kern w:val="0"/>
                <w:sz w:val="22"/>
                <w:szCs w:val="22"/>
                <w:highlight w:val="none"/>
              </w:rPr>
              <w:t>强化节水，采取上中游水库联合调度、生态补水等措施，保障河道生态需水，到202</w:t>
            </w:r>
            <w:r>
              <w:rPr>
                <w:rFonts w:hint="eastAsia" w:ascii="仿宋_GB2312" w:hAnsi="仿宋_GB2312" w:eastAsia="仿宋_GB2312" w:cs="仿宋_GB2312"/>
                <w:color w:val="000000"/>
                <w:kern w:val="0"/>
                <w:sz w:val="22"/>
                <w:szCs w:val="22"/>
                <w:highlight w:val="none"/>
                <w:lang w:val="en-US" w:eastAsia="zh-CN"/>
              </w:rPr>
              <w:t>7</w:t>
            </w:r>
            <w:r>
              <w:rPr>
                <w:rFonts w:hint="eastAsia" w:ascii="仿宋_GB2312" w:hAnsi="仿宋_GB2312" w:eastAsia="仿宋_GB2312" w:cs="仿宋_GB2312"/>
                <w:color w:val="000000"/>
                <w:kern w:val="0"/>
                <w:sz w:val="22"/>
                <w:szCs w:val="22"/>
                <w:highlight w:val="none"/>
              </w:rPr>
              <w:t>年，木兰溪纳入监控的生态流量监测断面的生态需水满足率达75%以上。</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yellow"/>
              </w:rPr>
            </w:pPr>
            <w:r>
              <w:rPr>
                <w:rFonts w:hint="eastAsia" w:ascii="仿宋_GB2312" w:hAnsi="仿宋_GB2312" w:eastAsia="仿宋_GB2312" w:cs="仿宋_GB2312"/>
                <w:color w:val="000000"/>
                <w:kern w:val="0"/>
                <w:sz w:val="22"/>
                <w:szCs w:val="22"/>
                <w:highlight w:val="none"/>
                <w:lang w:eastAsia="zh-CN"/>
              </w:rPr>
              <w:t>持续</w:t>
            </w:r>
            <w:r>
              <w:rPr>
                <w:rFonts w:hint="eastAsia" w:ascii="仿宋_GB2312" w:hAnsi="仿宋_GB2312" w:eastAsia="仿宋_GB2312" w:cs="仿宋_GB2312"/>
                <w:color w:val="000000"/>
                <w:kern w:val="0"/>
                <w:sz w:val="22"/>
                <w:szCs w:val="22"/>
                <w:highlight w:val="none"/>
              </w:rPr>
              <w:t>推进</w:t>
            </w:r>
            <w:r>
              <w:rPr>
                <w:rFonts w:hint="eastAsia" w:ascii="仿宋_GB2312" w:hAnsi="仿宋_GB2312" w:eastAsia="仿宋_GB2312" w:cs="仿宋_GB2312"/>
                <w:color w:val="000000"/>
                <w:kern w:val="0"/>
                <w:sz w:val="22"/>
                <w:szCs w:val="22"/>
                <w:highlight w:val="none"/>
                <w:lang w:val="en-US" w:eastAsia="zh-CN"/>
              </w:rPr>
              <w:t>木兰溪</w:t>
            </w:r>
            <w:r>
              <w:rPr>
                <w:rFonts w:hint="eastAsia" w:ascii="仿宋_GB2312" w:hAnsi="仿宋_GB2312" w:eastAsia="仿宋_GB2312" w:cs="仿宋_GB2312"/>
                <w:color w:val="000000"/>
                <w:kern w:val="0"/>
                <w:sz w:val="22"/>
                <w:szCs w:val="22"/>
                <w:highlight w:val="none"/>
              </w:rPr>
              <w:t>流域生态保护修复项目</w:t>
            </w:r>
            <w:r>
              <w:rPr>
                <w:rFonts w:hint="eastAsia" w:ascii="仿宋_GB2312" w:hAnsi="仿宋_GB2312" w:eastAsia="仿宋_GB2312" w:cs="仿宋_GB2312"/>
                <w:color w:val="000000"/>
                <w:kern w:val="0"/>
                <w:sz w:val="22"/>
                <w:szCs w:val="22"/>
                <w:highlight w:val="none"/>
                <w:lang w:val="en-US" w:eastAsia="zh-CN"/>
              </w:rPr>
              <w:t>和</w:t>
            </w:r>
            <w:r>
              <w:rPr>
                <w:rFonts w:hint="eastAsia" w:ascii="仿宋_GB2312" w:hAnsi="仿宋_GB2312" w:eastAsia="仿宋_GB2312" w:cs="仿宋_GB2312"/>
                <w:color w:val="000000"/>
                <w:kern w:val="0"/>
                <w:sz w:val="22"/>
                <w:szCs w:val="22"/>
                <w:highlight w:val="none"/>
              </w:rPr>
              <w:t>水生态综合治理项目，推进污水处理厂尾水湿地建设、</w:t>
            </w:r>
            <w:r>
              <w:rPr>
                <w:rFonts w:hint="eastAsia" w:ascii="仿宋_GB2312" w:hAnsi="仿宋_GB2312" w:eastAsia="仿宋_GB2312" w:cs="仿宋_GB2312"/>
                <w:color w:val="000000"/>
                <w:kern w:val="0"/>
                <w:sz w:val="22"/>
                <w:szCs w:val="22"/>
                <w:highlight w:val="none"/>
                <w:lang w:eastAsia="zh-CN"/>
              </w:rPr>
              <w:t>生物多样性</w:t>
            </w:r>
            <w:r>
              <w:rPr>
                <w:rFonts w:hint="eastAsia" w:ascii="仿宋_GB2312" w:hAnsi="仿宋_GB2312" w:eastAsia="仿宋_GB2312" w:cs="仿宋_GB2312"/>
                <w:color w:val="000000"/>
                <w:kern w:val="0"/>
                <w:sz w:val="22"/>
                <w:szCs w:val="22"/>
                <w:highlight w:val="none"/>
              </w:rPr>
              <w:t>保护、梯级开发河流鱼类洄游通道恢复等项目建设，全面恢复河湖生态系统功能。</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水利</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生态环境</w:t>
            </w:r>
            <w:r>
              <w:rPr>
                <w:rFonts w:hint="eastAsia" w:ascii="仿宋_GB2312" w:hAnsi="仿宋_GB2312" w:eastAsia="仿宋_GB2312" w:cs="仿宋_GB2312"/>
                <w:color w:val="000000"/>
                <w:kern w:val="0"/>
                <w:sz w:val="22"/>
                <w:szCs w:val="22"/>
                <w:lang w:eastAsia="zh-CN"/>
              </w:rPr>
              <w:t>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1285"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25</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河湖缓冲带建设</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highlight w:val="none"/>
                <w:lang w:val="en-US" w:eastAsia="zh-CN"/>
              </w:rPr>
              <w:t>开展东圳水库湖滨缓冲带建设，实施</w:t>
            </w:r>
            <w:r>
              <w:rPr>
                <w:rFonts w:hint="eastAsia" w:ascii="仿宋_GB2312" w:hAnsi="仿宋_GB2312" w:eastAsia="仿宋_GB2312" w:cs="仿宋_GB2312"/>
                <w:color w:val="000000"/>
                <w:kern w:val="0"/>
                <w:sz w:val="22"/>
                <w:szCs w:val="22"/>
                <w:highlight w:val="none"/>
              </w:rPr>
              <w:t>笏石溪河道综合整治PPP项目</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lang w:val="en-US" w:eastAsia="zh-CN"/>
              </w:rPr>
              <w:t>秀屿区土海周边水系综合整治及连通工程、涵江区河道整治工程等</w:t>
            </w:r>
            <w:r>
              <w:rPr>
                <w:rFonts w:hint="eastAsia" w:ascii="仿宋_GB2312" w:hAnsi="仿宋_GB2312" w:eastAsia="仿宋_GB2312" w:cs="仿宋_GB2312"/>
                <w:color w:val="000000"/>
                <w:kern w:val="0"/>
                <w:sz w:val="22"/>
                <w:szCs w:val="22"/>
                <w:highlight w:val="none"/>
              </w:rPr>
              <w:t>。扩展木兰溪流域河湖缓冲带、生态护岸长度，恢复河道水生植被，提升水生生物完整性。</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推进生态拦截沟渠建设，建设氮磷生态拦截沟渠、生态湿地、生态护坡、生态缓冲带及配套设施。</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生态环境</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val="en-US"/>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lang w:val="en-US" w:eastAsia="zh-CN"/>
              </w:rPr>
              <w:t>水利局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967"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26</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湿地碳汇能力提升</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建设东圳水库人工湿地1500亩人工湿地，在陆向辐射区、水位变幅区及水向辐射区构建陆生乔木、灌草带、挺水及浮水植物带</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lang w:val="en-US" w:eastAsia="zh-CN"/>
              </w:rPr>
              <w:t>在北洋片区、土海片区和湄洲岛区域实施人工湿地净化工程</w:t>
            </w:r>
            <w:r>
              <w:rPr>
                <w:rFonts w:hint="eastAsia" w:ascii="仿宋_GB2312" w:hAnsi="仿宋_GB2312" w:eastAsia="仿宋_GB2312" w:cs="仿宋_GB2312"/>
                <w:color w:val="000000"/>
                <w:kern w:val="0"/>
                <w:sz w:val="22"/>
                <w:szCs w:val="22"/>
                <w:highlight w:val="none"/>
              </w:rPr>
              <w:t>，有效提升湿地碳汇能力。</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实施重要河口、河流交汇处等敏感区域人工湿地建设项目，提升湿地生态系统碳汇能力和净化功能。</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水利</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lang w:val="en-US" w:eastAsia="zh-CN"/>
              </w:rPr>
              <w:t>林业局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生态环境</w:t>
            </w:r>
            <w:r>
              <w:rPr>
                <w:rFonts w:hint="eastAsia" w:ascii="仿宋_GB2312" w:hAnsi="仿宋_GB2312" w:eastAsia="仿宋_GB2312" w:cs="仿宋_GB2312"/>
                <w:color w:val="000000"/>
                <w:kern w:val="0"/>
                <w:sz w:val="22"/>
                <w:szCs w:val="22"/>
                <w:lang w:eastAsia="zh-CN"/>
              </w:rPr>
              <w:t>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1420"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27</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河湖防灾能力提升</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推进城镇应急备用水源建设、水源地环境风险防范设施建设等饮水安全项目，突发水污染防控体系建设、水生态安全防控技术示范、累积性风险基础数据库建设等水生态环境安全项目，</w:t>
            </w:r>
            <w:r>
              <w:rPr>
                <w:rFonts w:hint="eastAsia" w:ascii="仿宋_GB2312" w:hAnsi="仿宋_GB2312" w:eastAsia="仿宋_GB2312" w:cs="仿宋_GB2312"/>
                <w:color w:val="000000"/>
                <w:kern w:val="0"/>
                <w:sz w:val="22"/>
                <w:szCs w:val="22"/>
                <w:highlight w:val="none"/>
                <w:lang w:val="en-US" w:eastAsia="zh-CN"/>
              </w:rPr>
              <w:t>木兰溪</w:t>
            </w:r>
            <w:r>
              <w:rPr>
                <w:rFonts w:hint="eastAsia" w:ascii="仿宋_GB2312" w:hAnsi="仿宋_GB2312" w:eastAsia="仿宋_GB2312" w:cs="仿宋_GB2312"/>
                <w:color w:val="000000"/>
                <w:kern w:val="0"/>
                <w:sz w:val="22"/>
                <w:szCs w:val="22"/>
                <w:highlight w:val="none"/>
              </w:rPr>
              <w:t>防洪治理、病险水库（闸）除险加固等项目，建设</w:t>
            </w:r>
            <w:r>
              <w:rPr>
                <w:rFonts w:hint="eastAsia" w:ascii="仿宋_GB2312" w:hAnsi="仿宋_GB2312" w:eastAsia="仿宋_GB2312" w:cs="仿宋_GB2312"/>
                <w:color w:val="000000"/>
                <w:kern w:val="0"/>
                <w:sz w:val="22"/>
                <w:szCs w:val="22"/>
                <w:highlight w:val="none"/>
                <w:lang w:val="en-US" w:eastAsia="zh-CN"/>
              </w:rPr>
              <w:t>木兰溪</w:t>
            </w:r>
            <w:r>
              <w:rPr>
                <w:rFonts w:hint="eastAsia" w:ascii="仿宋_GB2312" w:hAnsi="仿宋_GB2312" w:eastAsia="仿宋_GB2312" w:cs="仿宋_GB2312"/>
                <w:color w:val="000000"/>
                <w:kern w:val="0"/>
                <w:sz w:val="22"/>
                <w:szCs w:val="22"/>
                <w:highlight w:val="none"/>
              </w:rPr>
              <w:t>流域“一河一策一图”环境应急响应体系。</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推进饮用水水源地新污染物监测与预警体系建设，乡镇排涝与水系连通等项目。构建数字化、功能完备、协调配套的全域防洪排涝蓄滞河湖网。</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水利</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生态环境</w:t>
            </w:r>
            <w:r>
              <w:rPr>
                <w:rFonts w:hint="eastAsia" w:ascii="仿宋_GB2312" w:hAnsi="仿宋_GB2312" w:eastAsia="仿宋_GB2312" w:cs="仿宋_GB2312"/>
                <w:color w:val="000000"/>
                <w:kern w:val="0"/>
                <w:sz w:val="22"/>
                <w:szCs w:val="22"/>
                <w:lang w:eastAsia="zh-CN"/>
              </w:rPr>
              <w:t>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90"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28</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水环境质量提升</w:t>
            </w:r>
          </w:p>
        </w:tc>
        <w:tc>
          <w:tcPr>
            <w:tcW w:w="6111" w:type="dxa"/>
            <w:noWrap w:val="0"/>
            <w:vAlign w:val="center"/>
          </w:tcPr>
          <w:p>
            <w:pPr>
              <w:keepNext w:val="0"/>
              <w:keepLines w:val="0"/>
              <w:widowControl/>
              <w:numPr>
                <w:ilvl w:val="0"/>
                <w:numId w:val="0"/>
              </w:numPr>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1</w:t>
            </w: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lang w:val="en-US" w:eastAsia="zh-CN"/>
              </w:rPr>
              <w:t>开展木兰溪流域山水林田湖草生态保护修复项目</w:t>
            </w: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lang w:val="en-US" w:eastAsia="zh-CN"/>
              </w:rPr>
              <w:t>改善木兰溪流域环境质量和生态功能。</w:t>
            </w:r>
          </w:p>
          <w:p>
            <w:pPr>
              <w:pStyle w:val="2"/>
              <w:keepNext w:val="0"/>
              <w:keepLines w:val="0"/>
              <w:suppressLineNumbers w:val="0"/>
              <w:spacing w:before="0" w:beforeAutospacing="0" w:afterAutospacing="0"/>
              <w:ind w:left="0" w:leftChars="0" w:right="0" w:firstLine="0" w:firstLineChars="0"/>
              <w:rPr>
                <w:rFonts w:hint="eastAsia" w:ascii="仿宋_GB2312" w:hAnsi="仿宋_GB2312" w:eastAsia="仿宋_GB2312" w:cs="仿宋_GB2312"/>
                <w:color w:val="000000"/>
              </w:rPr>
            </w:pPr>
            <w:r>
              <w:rPr>
                <w:rFonts w:hint="eastAsia" w:ascii="仿宋_GB2312" w:hAnsi="仿宋_GB2312" w:eastAsia="仿宋_GB2312" w:cs="仿宋_GB2312"/>
                <w:color w:val="000000"/>
                <w:kern w:val="0"/>
                <w:sz w:val="22"/>
                <w:szCs w:val="22"/>
                <w:lang w:val="en-US" w:eastAsia="zh-CN"/>
              </w:rPr>
              <w:t>2</w:t>
            </w:r>
            <w:r>
              <w:rPr>
                <w:rFonts w:hint="eastAsia" w:ascii="仿宋_GB2312" w:hAnsi="仿宋_GB2312" w:eastAsia="仿宋_GB2312" w:cs="仿宋_GB2312"/>
                <w:color w:val="000000"/>
                <w:kern w:val="0"/>
                <w:sz w:val="22"/>
                <w:szCs w:val="22"/>
              </w:rPr>
              <w:t>.开展入河排污口第二轮“全口径”排查溯源和整治，建立健全长效监督管理机制，有效管控入河入海污染物排放。</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实施重点河湖控源截污、清淤疏浚、生态修复项目，推进全流域覆盖的智能化水质监控监测预警系统二期工程项目建设等智慧流域项目。</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生态环境</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水利</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val="en-US"/>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lang w:val="en-US" w:eastAsia="zh-CN"/>
              </w:rPr>
              <w:t>住建局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1083"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29</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生态景观品质提升</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yellow"/>
              </w:rPr>
            </w:pPr>
            <w:r>
              <w:rPr>
                <w:rFonts w:hint="eastAsia" w:ascii="仿宋_GB2312" w:hAnsi="仿宋_GB2312" w:eastAsia="仿宋_GB2312" w:cs="仿宋_GB2312"/>
                <w:color w:val="000000"/>
                <w:kern w:val="0"/>
                <w:sz w:val="22"/>
                <w:szCs w:val="22"/>
                <w:highlight w:val="none"/>
              </w:rPr>
              <w:t>实施完成</w:t>
            </w:r>
            <w:r>
              <w:rPr>
                <w:rFonts w:hint="eastAsia" w:ascii="仿宋_GB2312" w:hAnsi="仿宋_GB2312" w:eastAsia="仿宋_GB2312" w:cs="仿宋_GB2312"/>
                <w:color w:val="000000"/>
                <w:kern w:val="0"/>
                <w:sz w:val="22"/>
                <w:szCs w:val="22"/>
                <w:highlight w:val="none"/>
                <w:lang w:eastAsia="zh-CN"/>
              </w:rPr>
              <w:t>涵江区白塘湖片区整体开发</w:t>
            </w:r>
            <w:r>
              <w:rPr>
                <w:rFonts w:hint="eastAsia" w:ascii="仿宋_GB2312" w:hAnsi="仿宋_GB2312" w:eastAsia="仿宋_GB2312" w:cs="仿宋_GB2312"/>
                <w:color w:val="000000"/>
                <w:kern w:val="0"/>
                <w:sz w:val="22"/>
                <w:szCs w:val="22"/>
                <w:highlight w:val="none"/>
                <w:lang w:val="en-US" w:eastAsia="zh-CN"/>
              </w:rPr>
              <w:t>和</w:t>
            </w:r>
            <w:r>
              <w:rPr>
                <w:rFonts w:hint="eastAsia" w:ascii="仿宋_GB2312" w:hAnsi="仿宋_GB2312" w:eastAsia="仿宋_GB2312" w:cs="仿宋_GB2312"/>
                <w:color w:val="000000"/>
                <w:kern w:val="0"/>
                <w:sz w:val="22"/>
                <w:szCs w:val="22"/>
                <w:highlight w:val="none"/>
                <w:lang w:eastAsia="zh-CN"/>
              </w:rPr>
              <w:t>钟潭片区综合开发</w:t>
            </w:r>
            <w:r>
              <w:rPr>
                <w:rFonts w:hint="eastAsia" w:ascii="仿宋_GB2312" w:hAnsi="仿宋_GB2312" w:eastAsia="仿宋_GB2312" w:cs="仿宋_GB2312"/>
                <w:color w:val="000000"/>
                <w:kern w:val="0"/>
                <w:sz w:val="22"/>
                <w:szCs w:val="22"/>
                <w:highlight w:val="none"/>
              </w:rPr>
              <w:t>项目，提升水生态景观品质，推广亲水平台、亲水汀步、亲水节点建设，营造水清流远，鱼跃人欢的亲水空间。</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实施岸线生态化改造项目、河滩公园建设项目，提升水岸景观文化内涵。</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市水利局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涵江区政府</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kern w:val="0"/>
                <w:sz w:val="22"/>
                <w:szCs w:val="22"/>
                <w:lang w:val="en-US" w:eastAsia="zh-CN"/>
              </w:rPr>
              <w:t>城厢区政府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1211"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30</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治水文化传承弘扬</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1.</w:t>
            </w:r>
            <w:r>
              <w:rPr>
                <w:rFonts w:hint="eastAsia" w:ascii="仿宋_GB2312" w:hAnsi="仿宋_GB2312" w:eastAsia="仿宋_GB2312" w:cs="仿宋_GB2312"/>
                <w:color w:val="000000"/>
                <w:kern w:val="0"/>
                <w:sz w:val="22"/>
                <w:szCs w:val="22"/>
              </w:rPr>
              <w:t>推进莆田市东圳水库水利风景区等八闽特色水利风景区建设</w:t>
            </w: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lang w:val="en-US" w:eastAsia="zh-CN"/>
              </w:rPr>
              <w:t>2.</w:t>
            </w:r>
            <w:r>
              <w:rPr>
                <w:rFonts w:hint="eastAsia" w:ascii="仿宋_GB2312" w:hAnsi="仿宋_GB2312" w:eastAsia="仿宋_GB2312" w:cs="仿宋_GB2312"/>
                <w:color w:val="000000"/>
                <w:kern w:val="0"/>
                <w:sz w:val="22"/>
                <w:szCs w:val="22"/>
              </w:rPr>
              <w:t>发挥莆田市木兰陂等国家水利风景区高质量发展典型案例示范作用</w:t>
            </w: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rPr>
              <w:t>保护和传承钱四娘信俗，创排莆仙戏《钱四娘》。</w:t>
            </w:r>
            <w:r>
              <w:rPr>
                <w:rFonts w:hint="eastAsia" w:ascii="仿宋_GB2312" w:hAnsi="仿宋_GB2312" w:eastAsia="仿宋_GB2312" w:cs="仿宋_GB2312"/>
                <w:color w:val="000000"/>
                <w:kern w:val="0"/>
                <w:sz w:val="22"/>
                <w:szCs w:val="22"/>
                <w:lang w:val="en-US" w:eastAsia="zh-CN"/>
              </w:rPr>
              <w:t xml:space="preserve"> </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1.重点实施木兰陂世遗景区工程。</w:t>
            </w:r>
          </w:p>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2.保护和传承钱四娘信俗，推进申报国家级非物质文化遗产代表性项目，创排更多水文化文艺精品。</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水利</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文旅</w:t>
            </w:r>
            <w:r>
              <w:rPr>
                <w:rFonts w:hint="eastAsia" w:ascii="仿宋_GB2312" w:hAnsi="仿宋_GB2312" w:eastAsia="仿宋_GB2312" w:cs="仿宋_GB2312"/>
                <w:color w:val="000000"/>
                <w:kern w:val="0"/>
                <w:sz w:val="22"/>
                <w:szCs w:val="22"/>
                <w:lang w:eastAsia="zh-CN"/>
              </w:rPr>
              <w:t>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90" w:hRule="atLeast"/>
          <w:jc w:val="center"/>
        </w:trPr>
        <w:tc>
          <w:tcPr>
            <w:tcW w:w="14174" w:type="dxa"/>
            <w:gridSpan w:val="5"/>
            <w:noWrap w:val="0"/>
            <w:vAlign w:val="center"/>
          </w:tcPr>
          <w:p>
            <w:pPr>
              <w:keepNext w:val="0"/>
              <w:keepLines w:val="0"/>
              <w:widowControl/>
              <w:suppressLineNumbers w:val="0"/>
              <w:overflowPunct w:val="0"/>
              <w:adjustRightInd w:val="0"/>
              <w:snapToGrid w:val="0"/>
              <w:spacing w:before="0" w:beforeAutospacing="0" w:after="0" w:afterAutospacing="0"/>
              <w:ind w:left="0" w:right="0"/>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color w:val="000000"/>
                <w:kern w:val="0"/>
                <w:sz w:val="22"/>
                <w:szCs w:val="22"/>
              </w:rPr>
              <w:t>四、美丽海湾建设工程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430"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31</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入海河流消劣</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1.基本完成规模以上工业入海排污口、县级及以上污水处理厂入海排污口整治，完成兴化湾、平海湾、湄洲湾、南日群岛等四大湾区的排污口排查溯源和70%以上整治任务。</w:t>
            </w:r>
          </w:p>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2.在兴化湾沿岸涵江区三江口镇、江口镇开展农村污水治理工程，计划新铺设污水收集管网124公里。</w:t>
            </w:r>
          </w:p>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3.开展入海排污口“全口径”整治，推动大蚶溪和石塘溪入海河段生态修复，全面消除沧溪入海断面劣V类水质，规范排污口设置，消除水质富营养化，达到水质四类标准。</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推动入海河流“消劣减氮”项目，完善入海排污口“查、测、溯、治”，构建流域一河口一近岸海域污染联防联治体系。</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生态环境</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海洋渔业局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住建</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val="en-US"/>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lang w:val="en-US" w:eastAsia="zh-CN"/>
              </w:rPr>
              <w:t>水利局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1473"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32</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海域污染防治</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rPr>
              <w:t>清理整顿无序海水养殖，清理整治海上养殖转型升级淘汰废弃养殖设施，引导养殖业主清洁生产和做好养殖区内水域保洁</w:t>
            </w: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lang w:val="en-US" w:eastAsia="zh-CN"/>
              </w:rPr>
              <w:t>完成提水式海水水产养殖污水治理。</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推进海上养殖</w:t>
            </w:r>
            <w:r>
              <w:rPr>
                <w:rFonts w:hint="eastAsia" w:ascii="仿宋_GB2312" w:hAnsi="仿宋_GB2312" w:eastAsia="仿宋_GB2312" w:cs="仿宋_GB2312"/>
                <w:color w:val="000000"/>
                <w:kern w:val="0"/>
                <w:sz w:val="22"/>
                <w:szCs w:val="22"/>
                <w:lang w:val="en-US" w:eastAsia="zh-CN"/>
              </w:rPr>
              <w:t>污水治理与</w:t>
            </w:r>
            <w:r>
              <w:rPr>
                <w:rFonts w:hint="eastAsia" w:ascii="仿宋_GB2312" w:hAnsi="仿宋_GB2312" w:eastAsia="仿宋_GB2312" w:cs="仿宋_GB2312"/>
                <w:color w:val="000000"/>
                <w:kern w:val="0"/>
                <w:sz w:val="22"/>
                <w:szCs w:val="22"/>
              </w:rPr>
              <w:t>设施提升，推广应用环保型塑胶材料。</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海洋渔业局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市生态环境局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2587"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33</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海漂垃圾治理</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w:t>
            </w:r>
            <w:r>
              <w:rPr>
                <w:rFonts w:hint="eastAsia" w:ascii="仿宋_GB2312" w:hAnsi="仿宋_GB2312" w:eastAsia="仿宋_GB2312" w:cs="仿宋_GB2312"/>
                <w:color w:val="000000"/>
                <w:kern w:val="0"/>
                <w:sz w:val="22"/>
                <w:szCs w:val="22"/>
                <w:lang w:val="en-US" w:eastAsia="zh-CN"/>
              </w:rPr>
              <w:t>到</w:t>
            </w:r>
            <w:r>
              <w:rPr>
                <w:rFonts w:hint="eastAsia" w:ascii="仿宋_GB2312" w:hAnsi="仿宋_GB2312" w:eastAsia="仿宋_GB2312" w:cs="仿宋_GB2312"/>
                <w:color w:val="000000"/>
                <w:kern w:val="0"/>
                <w:sz w:val="22"/>
                <w:szCs w:val="22"/>
              </w:rPr>
              <w:t>202</w:t>
            </w:r>
            <w:r>
              <w:rPr>
                <w:rFonts w:hint="eastAsia" w:ascii="仿宋_GB2312" w:hAnsi="仿宋_GB2312" w:eastAsia="仿宋_GB2312" w:cs="仿宋_GB2312"/>
                <w:color w:val="000000"/>
                <w:kern w:val="0"/>
                <w:sz w:val="22"/>
                <w:szCs w:val="22"/>
                <w:lang w:val="en-US" w:eastAsia="zh-CN"/>
              </w:rPr>
              <w:t>7</w:t>
            </w:r>
            <w:r>
              <w:rPr>
                <w:rFonts w:hint="eastAsia" w:ascii="仿宋_GB2312" w:hAnsi="仿宋_GB2312" w:eastAsia="仿宋_GB2312" w:cs="仿宋_GB2312"/>
                <w:color w:val="000000"/>
                <w:kern w:val="0"/>
                <w:sz w:val="22"/>
                <w:szCs w:val="22"/>
              </w:rPr>
              <w:t>年我市重点岸段海漂垃圾分布密度保持在270㎡/km，覆盖度低于600㎡/k㎡，推动“美丽海岸带”建设10km，海漂垃圾治理群众满意度90%（含）以上。</w:t>
            </w:r>
          </w:p>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2.建立海漂垃圾整治常态化机制，定期开展专项整治行动。督促指导县区发挥海上环卫队伍作用，加大海漂垃圾清理力度。</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rPr>
              <w:t>建立完善海漂垃圾治理长效机制</w:t>
            </w: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rPr>
              <w:t>对辖区的海漂垃圾开展常态化清理保洁，推进海漂垃圾智慧治理。</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生态环境</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海洋渔业局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lang w:val="en-US" w:eastAsia="zh-CN"/>
              </w:rPr>
              <w:t>城市管理局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2106"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34</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海洋风险防控</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实施护岸整治项目、护岸完善项目；实施海堤除险加固项目，优化提升海岸带防潮御浪、固堤护岸的减灾功能；通过在海堤护岸外侧采用修建斜坡式人工</w:t>
            </w:r>
            <w:r>
              <w:rPr>
                <w:rFonts w:hint="eastAsia" w:ascii="仿宋_GB2312" w:hAnsi="仿宋_GB2312" w:eastAsia="仿宋_GB2312" w:cs="仿宋_GB2312"/>
                <w:color w:val="000000"/>
                <w:kern w:val="0"/>
                <w:sz w:val="22"/>
                <w:szCs w:val="22"/>
                <w:lang w:eastAsia="zh-CN"/>
              </w:rPr>
              <w:t>堤体</w:t>
            </w:r>
            <w:r>
              <w:rPr>
                <w:rFonts w:hint="eastAsia" w:ascii="仿宋_GB2312" w:hAnsi="仿宋_GB2312" w:eastAsia="仿宋_GB2312" w:cs="仿宋_GB2312"/>
                <w:color w:val="000000"/>
                <w:kern w:val="0"/>
                <w:sz w:val="22"/>
                <w:szCs w:val="22"/>
              </w:rPr>
              <w:t>的方式，结合堤前潮间带重构、堤身生态化改造和堤后生态缓冲带建设等措施，优化提升海岸带生态系统的减灾功能和海岸防护工程的生态功能。</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持续完善防波堤、护岸、沿海防护林等防护设施和渔港、避风港、避风锚地等海岸带防灾减灾设施，显著提升气候和海洋灾害应对能力。</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水利</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海洋渔业局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2362"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35</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智慧监测监管</w:t>
            </w:r>
          </w:p>
        </w:tc>
        <w:tc>
          <w:tcPr>
            <w:tcW w:w="6111" w:type="dxa"/>
            <w:noWrap w:val="0"/>
            <w:vAlign w:val="center"/>
          </w:tcPr>
          <w:p>
            <w:pPr>
              <w:keepNext w:val="0"/>
              <w:keepLines w:val="0"/>
              <w:widowControl/>
              <w:numPr>
                <w:ilvl w:val="0"/>
                <w:numId w:val="0"/>
              </w:numPr>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1.依托省近岸站（海洋中心）或其他第三方的多功能海洋生态环境监测调查船，增设海洋生态环境监测队伍，统筹配置陆海一体化生态环境监测力量。</w:t>
            </w:r>
          </w:p>
          <w:p>
            <w:pPr>
              <w:keepNext w:val="0"/>
              <w:keepLines w:val="0"/>
              <w:widowControl/>
              <w:numPr>
                <w:ilvl w:val="0"/>
                <w:numId w:val="0"/>
              </w:numPr>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2.加大核查堆砂点砂源地的凭证，严厉打击非法采砂行为，强化监管和严格追责。</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持续完善“空天地海”多基协同的水文水质生态综合监测物联网，建成更加高效的海洋环境风险动态监管平台和监视监测系统。</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市生态环境局市海洋渔业局</w:t>
            </w:r>
          </w:p>
          <w:p>
            <w:pPr>
              <w:keepNext w:val="0"/>
              <w:keepLines w:val="0"/>
              <w:widowControl/>
              <w:suppressLineNumbers w:val="0"/>
              <w:overflowPunct w:val="0"/>
              <w:adjustRightInd w:val="0"/>
              <w:snapToGrid w:val="0"/>
              <w:spacing w:before="0" w:beforeAutospacing="0" w:after="0" w:afterAutospacing="0"/>
              <w:ind w:left="0" w:right="0"/>
              <w:jc w:val="center"/>
              <w:rPr>
                <w:rFonts w:hint="default" w:eastAsia="仿宋_GB2312"/>
                <w:color w:val="000000"/>
                <w:lang w:val="en-US" w:eastAsia="zh-CN"/>
              </w:rPr>
            </w:pPr>
            <w:r>
              <w:rPr>
                <w:rFonts w:hint="eastAsia" w:ascii="仿宋_GB2312" w:hAnsi="仿宋_GB2312" w:eastAsia="仿宋_GB2312" w:cs="仿宋_GB2312"/>
                <w:color w:val="000000"/>
                <w:kern w:val="0"/>
                <w:sz w:val="22"/>
                <w:szCs w:val="22"/>
                <w:lang w:val="en-US" w:eastAsia="zh-CN"/>
              </w:rPr>
              <w:t>市自然资源局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2049" w:hRule="exac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36</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滨海湿地修复</w:t>
            </w:r>
          </w:p>
        </w:tc>
        <w:tc>
          <w:tcPr>
            <w:tcW w:w="6111" w:type="dxa"/>
            <w:noWrap w:val="0"/>
            <w:vAlign w:val="center"/>
          </w:tcPr>
          <w:p>
            <w:pPr>
              <w:keepNext w:val="0"/>
              <w:keepLines w:val="0"/>
              <w:widowControl/>
              <w:numPr>
                <w:ilvl w:val="0"/>
                <w:numId w:val="0"/>
              </w:numPr>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实施海洋生态保护修复项目，重点推进湄洲岛海洋生态保护修复项目，生态修复2.04平方公里，保护修复海岸线15.13公里、海岸带整治修复67公顷。探索在木兰溪口新建省级湿地公园。</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开展岸线岸滩恢复、海洋资源恢复、生态系统改善项目，实施生态海岸带建设、生态景观带改造；继续实施红树林生态保护修复，抚育和提质改造现有红树林。</w:t>
            </w:r>
            <w:r>
              <w:rPr>
                <w:rFonts w:hint="eastAsia" w:ascii="仿宋_GB2312" w:hAnsi="仿宋_GB2312" w:eastAsia="仿宋_GB2312" w:cs="仿宋_GB2312"/>
                <w:color w:val="000000"/>
                <w:kern w:val="0"/>
                <w:sz w:val="22"/>
                <w:szCs w:val="22"/>
                <w:lang w:eastAsia="zh-CN"/>
              </w:rPr>
              <w:t>在木兰溪口新建省级湿地公园。</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2"/>
                <w:szCs w:val="28"/>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自然资源</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生态环境</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林业局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2122"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37</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“蓝碳”能力提升</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1.每年开展增殖放流</w:t>
            </w:r>
            <w:r>
              <w:rPr>
                <w:rFonts w:hint="eastAsia" w:ascii="仿宋_GB2312" w:hAnsi="仿宋_GB2312" w:eastAsia="仿宋_GB2312" w:cs="仿宋_GB2312"/>
                <w:color w:val="000000"/>
                <w:kern w:val="0"/>
                <w:sz w:val="22"/>
                <w:szCs w:val="22"/>
                <w:lang w:val="en-US" w:eastAsia="zh-CN"/>
              </w:rPr>
              <w:t>活动</w:t>
            </w:r>
            <w:r>
              <w:rPr>
                <w:rFonts w:hint="eastAsia" w:ascii="仿宋_GB2312" w:hAnsi="仿宋_GB2312" w:eastAsia="仿宋_GB2312" w:cs="仿宋_GB2312"/>
                <w:color w:val="000000"/>
                <w:kern w:val="0"/>
                <w:sz w:val="22"/>
                <w:szCs w:val="22"/>
              </w:rPr>
              <w:t>，保障增殖放流工作规范有序开展。</w:t>
            </w:r>
          </w:p>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2.将“海洋经济</w:t>
            </w: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rPr>
              <w:t>碳达峰、碳中和相关研究”等纳入年度市级科技计划项目申报指南。适度扩展贝藻类养殖规模，提升渔业养殖固碳能力。</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rPr>
              <w:t>持续实施“海洋经济”等相关科研项目</w:t>
            </w: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lang w:val="en-US" w:eastAsia="zh-CN"/>
              </w:rPr>
              <w:t>并</w:t>
            </w:r>
            <w:r>
              <w:rPr>
                <w:rFonts w:hint="eastAsia" w:ascii="仿宋_GB2312" w:hAnsi="仿宋_GB2312" w:eastAsia="仿宋_GB2312" w:cs="仿宋_GB2312"/>
                <w:color w:val="000000"/>
                <w:kern w:val="0"/>
                <w:sz w:val="22"/>
                <w:szCs w:val="22"/>
              </w:rPr>
              <w:t>形成渔业碳汇交易机制</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海洋渔业局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2"/>
                <w:szCs w:val="28"/>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科技</w:t>
            </w:r>
            <w:r>
              <w:rPr>
                <w:rFonts w:hint="eastAsia" w:ascii="仿宋_GB2312" w:hAnsi="仿宋_GB2312" w:eastAsia="仿宋_GB2312" w:cs="仿宋_GB2312"/>
                <w:color w:val="000000"/>
                <w:kern w:val="0"/>
                <w:sz w:val="22"/>
                <w:szCs w:val="22"/>
                <w:lang w:eastAsia="zh-CN"/>
              </w:rPr>
              <w:t>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2870"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38</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亲海空间保护</w:t>
            </w:r>
          </w:p>
        </w:tc>
        <w:tc>
          <w:tcPr>
            <w:tcW w:w="6111" w:type="dxa"/>
            <w:noWrap w:val="0"/>
            <w:vAlign w:val="center"/>
          </w:tcPr>
          <w:p>
            <w:pPr>
              <w:keepNext w:val="0"/>
              <w:keepLines w:val="0"/>
              <w:widowControl/>
              <w:numPr>
                <w:ilvl w:val="0"/>
                <w:numId w:val="0"/>
              </w:numPr>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1.在沿海陆域建立垃圾收集、转运、处置机制，在重点岸段增设视频在线监控，定期巡查、清理近岸海滩垃圾。平海湾岸滩清洁率75%，保护平海湾赤岐至石城段自然岸线，打造平海湾黄金沙滩品牌。南日群岛海域湾区岸滩清洁率80%。</w:t>
            </w:r>
          </w:p>
          <w:p>
            <w:pPr>
              <w:keepNext w:val="0"/>
              <w:keepLines w:val="0"/>
              <w:widowControl/>
              <w:numPr>
                <w:ilvl w:val="0"/>
                <w:numId w:val="0"/>
              </w:numPr>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2.谋划建设</w:t>
            </w:r>
            <w:r>
              <w:rPr>
                <w:rFonts w:hint="eastAsia" w:ascii="仿宋_GB2312" w:hAnsi="仿宋_GB2312" w:eastAsia="仿宋_GB2312" w:cs="仿宋_GB2312"/>
                <w:color w:val="000000"/>
                <w:kern w:val="0"/>
                <w:sz w:val="22"/>
                <w:szCs w:val="22"/>
              </w:rPr>
              <w:t>北岸山水林田湖草沙综合治理与木兰溪资源循环经济产业开发项目</w:t>
            </w: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lang w:val="en-US" w:eastAsia="zh-CN"/>
              </w:rPr>
              <w:t>EOD</w:t>
            </w: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rPr>
              <w:t>，探索亲海空间绿色开发模式。</w:t>
            </w:r>
          </w:p>
          <w:p>
            <w:pPr>
              <w:keepNext w:val="0"/>
              <w:keepLines w:val="0"/>
              <w:widowControl/>
              <w:numPr>
                <w:ilvl w:val="0"/>
                <w:numId w:val="0"/>
              </w:numPr>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3.建设东甲村红树林生态观光岸线，打造后海渔村品牌。旅游业产值同比增长10%。</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建立亲海空间绿色开发模式，推进</w:t>
            </w:r>
            <w:r>
              <w:rPr>
                <w:rFonts w:hint="eastAsia" w:ascii="仿宋_GB2312" w:hAnsi="仿宋_GB2312" w:eastAsia="仿宋_GB2312" w:cs="仿宋_GB2312"/>
                <w:color w:val="000000"/>
                <w:kern w:val="0"/>
                <w:sz w:val="22"/>
                <w:szCs w:val="22"/>
                <w:lang w:eastAsia="zh-CN"/>
              </w:rPr>
              <w:t>兴化湾、平海湾、湄洲湾等滨海沙滩</w:t>
            </w:r>
            <w:r>
              <w:rPr>
                <w:rFonts w:hint="eastAsia" w:ascii="仿宋_GB2312" w:hAnsi="仿宋_GB2312" w:eastAsia="仿宋_GB2312" w:cs="仿宋_GB2312"/>
                <w:color w:val="000000"/>
                <w:kern w:val="0"/>
                <w:sz w:val="22"/>
                <w:szCs w:val="22"/>
              </w:rPr>
              <w:t>环境综合整治项目，增加亲水岸线和生活岸线。</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生态环境</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自然资源</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rPr>
            </w:pPr>
            <w:r>
              <w:rPr>
                <w:rFonts w:hint="eastAsia" w:ascii="仿宋_GB2312" w:hAnsi="仿宋_GB2312" w:eastAsia="仿宋_GB2312" w:cs="仿宋_GB2312"/>
                <w:color w:val="000000"/>
                <w:kern w:val="0"/>
                <w:sz w:val="22"/>
                <w:szCs w:val="22"/>
                <w:lang w:eastAsia="zh-CN"/>
              </w:rPr>
              <w:t>北岸管委会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4523"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39</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滨海景观美化</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1.编制完成《莆田市滨海旅游发展规划（2022-2035）》，挖掘莆田滨海旅游特色价值，找准发展定位和品牌形象，明确莆田滨海旅游发展目标、模式路径、推进步骤等。以湄洲岛5A级旅游景区为龙头，发展以“1号滨海风景道”为主线的滨海旅游，建设景观绿化、服务区等相关配套</w:t>
            </w: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rPr>
              <w:t>推进滨海旅游项目9个，</w:t>
            </w:r>
            <w:r>
              <w:rPr>
                <w:rFonts w:hint="eastAsia" w:ascii="仿宋_GB2312" w:hAnsi="仿宋_GB2312" w:eastAsia="仿宋_GB2312" w:cs="仿宋_GB2312"/>
                <w:color w:val="000000"/>
                <w:kern w:val="0"/>
                <w:sz w:val="22"/>
                <w:szCs w:val="22"/>
                <w:lang w:val="en-US" w:eastAsia="zh-CN"/>
              </w:rPr>
              <w:t>加强</w:t>
            </w:r>
            <w:r>
              <w:rPr>
                <w:rFonts w:hint="eastAsia" w:ascii="仿宋_GB2312" w:hAnsi="仿宋_GB2312" w:eastAsia="仿宋_GB2312" w:cs="仿宋_GB2312"/>
                <w:color w:val="000000"/>
                <w:kern w:val="0"/>
                <w:sz w:val="22"/>
                <w:szCs w:val="22"/>
              </w:rPr>
              <w:t>投资</w:t>
            </w:r>
            <w:r>
              <w:rPr>
                <w:rFonts w:hint="eastAsia" w:ascii="仿宋_GB2312" w:hAnsi="仿宋_GB2312" w:eastAsia="仿宋_GB2312" w:cs="仿宋_GB2312"/>
                <w:color w:val="000000"/>
                <w:kern w:val="0"/>
                <w:sz w:val="22"/>
                <w:szCs w:val="22"/>
                <w:lang w:val="en-US" w:eastAsia="zh-CN"/>
              </w:rPr>
              <w:t>力度</w:t>
            </w: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rPr>
              <w:t>不断丰富滨海旅游产品。推进文甲游客集散服务中心提升改造，建设文甲码头综合服务中心、文创商铺及钢架构风雨廊。围绕秀屿区滨海旅游资源，邀请媒体、网红达人、依托赛事活动等，推进旅游宣传，并逐步优化提升一批“可组合、菜单式、好操作”微旅游精品线路。</w:t>
            </w:r>
          </w:p>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2.“十四五”期间，兴化湾莆田段、平海湾、湄洲湾莆田段和南日群岛海域湾区等4个美丽海湾（湾区）完成省级“美丽海湾”建设，其中平海湾和南日群岛海域湾区要完成国家级“美丽海湾”建设。</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紧扣市委、市政府推动岛岸一体化发展要求，联动湄洲岛妈祖文化旅游区、妈祖城、贤良港天后祖祠、妈祖阁、平海妈祖庙等妈祖文化资源，推进湄洲岛和北岸资源和产业的整合，策划包装一体化文旅产业发展项目，探索岛岸文旅产业发展模式和政策体系。规划建设海岛核心旅游景点，进一步完善文旅配套设施、深度发掘“文旅+”业态，通过串珠成线、突出亮点，打造精品滨海休闲旅游线路，打好南日“旅游牌”。</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文旅</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自然资源</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生态环境</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林业局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交通运输</w:t>
            </w:r>
            <w:r>
              <w:rPr>
                <w:rFonts w:hint="eastAsia" w:ascii="仿宋_GB2312" w:hAnsi="仿宋_GB2312" w:eastAsia="仿宋_GB2312" w:cs="仿宋_GB2312"/>
                <w:color w:val="000000"/>
                <w:kern w:val="0"/>
                <w:sz w:val="22"/>
                <w:szCs w:val="22"/>
                <w:lang w:eastAsia="zh-CN"/>
              </w:rPr>
              <w:t>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2231"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40</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海洋文化推广</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持续办好世界妈祖文化论坛、中国·湄洲妈祖文化旅游节，打造具有较强国际影响力的论坛品牌，使之成为传播海洋文化精神的重要平台。</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both"/>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以海洋为媒，积极搭建海洋文化合作交流平台，大力传承弘扬海洋文化、妈祖文化，持续擦亮“妈祖故里·灵秀莆田”城市品牌，推动海洋文化高质量发展。</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文旅</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lang w:val="en-US" w:eastAsia="zh-CN"/>
              </w:rPr>
              <w:t>自然资源</w:t>
            </w:r>
            <w:r>
              <w:rPr>
                <w:rFonts w:hint="eastAsia" w:ascii="仿宋_GB2312" w:hAnsi="仿宋_GB2312" w:eastAsia="仿宋_GB2312" w:cs="仿宋_GB2312"/>
                <w:color w:val="000000"/>
                <w:kern w:val="0"/>
                <w:sz w:val="22"/>
                <w:szCs w:val="22"/>
              </w:rPr>
              <w:t>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495" w:hRule="atLeast"/>
          <w:jc w:val="center"/>
        </w:trPr>
        <w:tc>
          <w:tcPr>
            <w:tcW w:w="14174" w:type="dxa"/>
            <w:gridSpan w:val="5"/>
            <w:noWrap w:val="0"/>
            <w:vAlign w:val="center"/>
          </w:tcPr>
          <w:p>
            <w:pPr>
              <w:keepNext w:val="0"/>
              <w:keepLines w:val="0"/>
              <w:widowControl/>
              <w:suppressLineNumbers w:val="0"/>
              <w:overflowPunct w:val="0"/>
              <w:adjustRightInd w:val="0"/>
              <w:snapToGrid w:val="0"/>
              <w:spacing w:before="0" w:beforeAutospacing="0" w:after="0" w:afterAutospacing="0"/>
              <w:ind w:left="0" w:right="0"/>
              <w:jc w:val="left"/>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b/>
                <w:color w:val="000000"/>
                <w:kern w:val="0"/>
                <w:sz w:val="22"/>
                <w:szCs w:val="22"/>
              </w:rPr>
              <w:t>五、美丽园区建设工程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90"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41</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“集约园区”建设</w:t>
            </w:r>
          </w:p>
        </w:tc>
        <w:tc>
          <w:tcPr>
            <w:tcW w:w="6111" w:type="dxa"/>
            <w:noWrap w:val="0"/>
            <w:vAlign w:val="center"/>
          </w:tcPr>
          <w:p>
            <w:pPr>
              <w:keepNext w:val="0"/>
              <w:keepLines w:val="0"/>
              <w:widowControl/>
              <w:numPr>
                <w:ilvl w:val="0"/>
                <w:numId w:val="0"/>
              </w:numPr>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1.</w:t>
            </w:r>
            <w:r>
              <w:rPr>
                <w:rFonts w:hint="eastAsia" w:ascii="仿宋_GB2312" w:hAnsi="仿宋_GB2312" w:eastAsia="仿宋_GB2312" w:cs="仿宋_GB2312"/>
                <w:color w:val="000000"/>
                <w:kern w:val="0"/>
                <w:sz w:val="22"/>
                <w:szCs w:val="22"/>
                <w:highlight w:val="none"/>
              </w:rPr>
              <w:t>实施秀屿区东峤片区集中供热项目。</w:t>
            </w:r>
          </w:p>
          <w:p>
            <w:pPr>
              <w:keepNext w:val="0"/>
              <w:keepLines w:val="0"/>
              <w:widowControl/>
              <w:numPr>
                <w:ilvl w:val="0"/>
                <w:numId w:val="0"/>
              </w:numPr>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highlight w:val="none"/>
                <w:lang w:val="en-US" w:eastAsia="zh-CN"/>
              </w:rPr>
              <w:t>2.</w:t>
            </w:r>
            <w:r>
              <w:rPr>
                <w:rFonts w:hint="eastAsia" w:ascii="仿宋_GB2312" w:hAnsi="仿宋_GB2312" w:eastAsia="仿宋_GB2312" w:cs="仿宋_GB2312"/>
                <w:color w:val="000000"/>
                <w:kern w:val="0"/>
                <w:sz w:val="22"/>
                <w:szCs w:val="22"/>
                <w:highlight w:val="none"/>
              </w:rPr>
              <w:t>202</w:t>
            </w:r>
            <w:r>
              <w:rPr>
                <w:rFonts w:hint="eastAsia" w:ascii="仿宋_GB2312" w:hAnsi="仿宋_GB2312" w:eastAsia="仿宋_GB2312" w:cs="仿宋_GB2312"/>
                <w:color w:val="000000"/>
                <w:kern w:val="0"/>
                <w:sz w:val="22"/>
                <w:szCs w:val="22"/>
                <w:highlight w:val="none"/>
                <w:lang w:val="en-US" w:eastAsia="zh-CN"/>
              </w:rPr>
              <w:t>5年</w:t>
            </w:r>
            <w:r>
              <w:rPr>
                <w:rFonts w:hint="eastAsia" w:ascii="仿宋_GB2312" w:hAnsi="仿宋_GB2312" w:eastAsia="仿宋_GB2312" w:cs="仿宋_GB2312"/>
                <w:color w:val="000000"/>
                <w:kern w:val="0"/>
                <w:sz w:val="22"/>
                <w:szCs w:val="22"/>
                <w:highlight w:val="none"/>
              </w:rPr>
              <w:t>在仙游县、城厢区、荔城区、涵江区完成实施木兰溪流域生态保护和绿色发展示范区建设项目。</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统筹推动“一国五省”6个园区实施能源梯级利用、原料产品耦合、节能改造；依托新能源产业园区，推动打造零碳智慧工业园区；持续推进园区基础设施等配套建设项目，盘活空间资源，提高产业用地综合利用率。</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发改委</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生态环境</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工信</w:t>
            </w:r>
            <w:r>
              <w:rPr>
                <w:rFonts w:hint="eastAsia" w:ascii="仿宋_GB2312" w:hAnsi="仿宋_GB2312" w:eastAsia="仿宋_GB2312" w:cs="仿宋_GB2312"/>
                <w:color w:val="000000"/>
                <w:kern w:val="0"/>
                <w:sz w:val="22"/>
                <w:szCs w:val="22"/>
                <w:lang w:eastAsia="zh-CN"/>
              </w:rPr>
              <w:t>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90"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42</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“污水零直排区”</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建设</w:t>
            </w:r>
          </w:p>
        </w:tc>
        <w:tc>
          <w:tcPr>
            <w:tcW w:w="6111" w:type="dxa"/>
            <w:noWrap w:val="0"/>
            <w:vAlign w:val="center"/>
          </w:tcPr>
          <w:p>
            <w:pPr>
              <w:keepNext w:val="0"/>
              <w:keepLines w:val="0"/>
              <w:widowControl/>
              <w:numPr>
                <w:ilvl w:val="0"/>
                <w:numId w:val="0"/>
              </w:numPr>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推进“一国五省”6个园区完成污水零直排区建设，按照污水管网全覆盖、雨污分流全到位、污水排放全纳管、排河排海污水全达标、重点行业企业管道可视全明化的“四全一明”要求，建设一批“污水零直排”示范园区。</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推进污水处理设施分类管理和提标改造项目，开展工业集聚区污水集中处理设施建设与改造项目、配套管网建设项目等。</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val="en-US" w:eastAsia="zh-CN"/>
              </w:rPr>
              <w:t>市工信局</w:t>
            </w:r>
          </w:p>
          <w:p>
            <w:pPr>
              <w:pStyle w:val="2"/>
              <w:keepNext w:val="0"/>
              <w:keepLines w:val="0"/>
              <w:suppressLineNumbers w:val="0"/>
              <w:spacing w:before="0" w:beforeAutospacing="0" w:afterAutospacing="0"/>
              <w:ind w:left="0" w:leftChars="0" w:right="0" w:firstLine="0" w:firstLineChars="0"/>
              <w:jc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lang w:val="en-US" w:eastAsia="zh-CN"/>
              </w:rPr>
              <w:t>生态环境局</w:t>
            </w:r>
          </w:p>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lang w:val="en-US"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lang w:val="en-US" w:eastAsia="zh-CN"/>
              </w:rPr>
              <w:t>住建局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1612"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43</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“清新园区”建设</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持续挥发性有机物治理升级改造、燃煤锅炉淘汰及超低排放改造、大气监管能力建设等，探索绿色工业生产模式，完善园区大气监管能力。将“工业园区污水处理</w:t>
            </w: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rPr>
              <w:t>或者生活污水处理</w:t>
            </w: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rPr>
              <w:t>关键技术研究与应用”等纳入年度市级科技计划项目申报指南。</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持续深化</w:t>
            </w:r>
            <w:r>
              <w:rPr>
                <w:rFonts w:hint="eastAsia" w:ascii="仿宋_GB2312" w:hAnsi="仿宋_GB2312" w:eastAsia="仿宋_GB2312" w:cs="仿宋_GB2312"/>
                <w:color w:val="000000"/>
                <w:kern w:val="0"/>
                <w:sz w:val="22"/>
                <w:szCs w:val="22"/>
              </w:rPr>
              <w:t>挥发性有机物治理项目、无组织排放治理项目，实施有组织废气集中收集处理，开展泄漏检测与修复等减少无组织废气排放。推动莆田高新区“清洁园区”建设。</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生态环境</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工信</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科技</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发改委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1443"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44</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“无废园区”建设</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结合工业领域减污降碳要求，加快探索化工、建材等重点行业工业固体废物减量化路径，全面推行清洁生产；“十四五”期间</w:t>
            </w:r>
            <w:r>
              <w:rPr>
                <w:rFonts w:hint="eastAsia" w:ascii="仿宋_GB2312" w:hAnsi="仿宋_GB2312" w:eastAsia="仿宋_GB2312" w:cs="仿宋_GB2312"/>
                <w:color w:val="000000"/>
                <w:kern w:val="0"/>
                <w:sz w:val="22"/>
                <w:szCs w:val="22"/>
                <w:lang w:val="en-US" w:eastAsia="zh-CN"/>
              </w:rPr>
              <w:t>探索</w:t>
            </w:r>
            <w:r>
              <w:rPr>
                <w:rFonts w:hint="eastAsia" w:ascii="仿宋_GB2312" w:hAnsi="仿宋_GB2312" w:eastAsia="仿宋_GB2312" w:cs="仿宋_GB2312"/>
                <w:color w:val="000000"/>
                <w:kern w:val="0"/>
                <w:sz w:val="22"/>
                <w:szCs w:val="22"/>
              </w:rPr>
              <w:t>建设</w:t>
            </w: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rPr>
              <w:t>无废园区</w:t>
            </w: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rPr>
              <w:t>。</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加快无废园区建设，推动园区企业内、企业间和产业间实现固体废物循环利用。</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生态环境</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发改委</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工信</w:t>
            </w:r>
            <w:r>
              <w:rPr>
                <w:rFonts w:hint="eastAsia" w:ascii="仿宋_GB2312" w:hAnsi="仿宋_GB2312" w:eastAsia="仿宋_GB2312" w:cs="仿宋_GB2312"/>
                <w:color w:val="000000"/>
                <w:kern w:val="0"/>
                <w:sz w:val="22"/>
                <w:szCs w:val="22"/>
                <w:lang w:eastAsia="zh-CN"/>
              </w:rPr>
              <w:t>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2108" w:hRule="exac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45</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水效领跑者引领</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实施工业企业废水资源化利用项目，重点围绕火电、石化化工、有色、造纸、印染、食品等高耗水行业，组织开展企业内部废水资源化利用，创建工业废水资源化利用示范企业；建设节水型园区，统筹规划园区供排水、水处理及水梯级循环利用设施建设，鼓励企业间的串联用水，积极推动工业废水资源化利用。到202</w:t>
            </w:r>
            <w:r>
              <w:rPr>
                <w:rFonts w:hint="eastAsia" w:ascii="仿宋_GB2312" w:hAnsi="仿宋_GB2312" w:eastAsia="仿宋_GB2312" w:cs="仿宋_GB2312"/>
                <w:color w:val="000000"/>
                <w:kern w:val="0"/>
                <w:sz w:val="22"/>
                <w:szCs w:val="22"/>
                <w:lang w:val="en-US" w:eastAsia="zh-CN"/>
              </w:rPr>
              <w:t>7</w:t>
            </w:r>
            <w:r>
              <w:rPr>
                <w:rFonts w:hint="eastAsia" w:ascii="仿宋_GB2312" w:hAnsi="仿宋_GB2312" w:eastAsia="仿宋_GB2312" w:cs="仿宋_GB2312"/>
                <w:color w:val="000000"/>
                <w:kern w:val="0"/>
                <w:sz w:val="22"/>
                <w:szCs w:val="22"/>
              </w:rPr>
              <w:t>年，省级及以上水效领跑者不少于3个。</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实施节水技术改造项目，建设一批节水制度齐全、节水管理严格、节水技术先进的水效领跑者园区。</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工信</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val="en-US"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水利</w:t>
            </w:r>
            <w:r>
              <w:rPr>
                <w:rFonts w:hint="eastAsia" w:ascii="仿宋_GB2312" w:hAnsi="仿宋_GB2312" w:eastAsia="仿宋_GB2312" w:cs="仿宋_GB2312"/>
                <w:color w:val="000000"/>
                <w:kern w:val="0"/>
                <w:sz w:val="22"/>
                <w:szCs w:val="22"/>
                <w:lang w:val="en-US"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发改委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2785" w:hRule="exac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46</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能效领跑者引领</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在火电机组、原油加工、乙烯、平板玻璃、水泥、造纸等高耗能行业实施能效“领跑者”制度，单位产品能耗水平达到国家和地方能耗限额标准的先进值，且为行业领先水平。建设一批能源资源管理优化、利用高效的能效领跑者样板。</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在高耗能行业的基础上，将民用建筑、交通运输企业、商贸设施、星级酒店、公共机构等领域，纳入能效“领跑者”制度，带动全省能源资源利用效率提升。</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发改委</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工信</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市住建局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市交通局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市文旅局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市机关事务保障中心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2254"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47</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循环园区改造</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highlight w:val="none"/>
              </w:rPr>
              <w:t>实施循环园区改造项目，推进“一国五省”6个园区实施余热余压废热资源的回收利用和水资源循环利用，建设园区智能微电网；将“资源循环利用</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工业园区污水处理</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或者生活污水处理</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关键技术研究与应用”等纳入年度市级科技计划项目申报指南。</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实施园区循环化改造项目，优化企业生产工艺、技术装备和产品结构，实施余热余压废热资源回收利用和水资源循环利用，建设园区智能微电网，提升园区绿色低碳循环发展水平。推动莆田高新区“循环园区改造”建设。</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工信</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发改委</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水利</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科技</w:t>
            </w:r>
            <w:r>
              <w:rPr>
                <w:rFonts w:hint="eastAsia" w:ascii="仿宋_GB2312" w:hAnsi="仿宋_GB2312" w:eastAsia="仿宋_GB2312" w:cs="仿宋_GB2312"/>
                <w:color w:val="000000"/>
                <w:kern w:val="0"/>
                <w:sz w:val="22"/>
                <w:szCs w:val="22"/>
                <w:lang w:eastAsia="zh-CN"/>
              </w:rPr>
              <w:t>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1646"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48</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智慧园区建设</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充分运用大数据、物联网等技术，推进园区智慧化建设，建立统一的组织管理协调架构、业务管理平台和对内对外服务运营平台。将“智能制造</w:t>
            </w: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rPr>
              <w:t>工业园区污水处理</w:t>
            </w: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rPr>
              <w:t>或者生活污水处理</w:t>
            </w: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rPr>
              <w:t>关键技术研究与应用”等纳入年度市级科技计划项目申报指南。</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整合园区有组织、无组织排放监控监测、能源监测、大气污染监测、水污染监控监测等平台，推进全市自动监控统一联网；对企业水、电、燃气、蒸汽等数据进行物联网远程采集分析，实现园区能源调度及节能降耗。推动莆田高新区“智慧园区”建设。</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生态环境</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科技</w:t>
            </w:r>
            <w:r>
              <w:rPr>
                <w:rFonts w:hint="eastAsia" w:ascii="仿宋_GB2312" w:hAnsi="仿宋_GB2312" w:eastAsia="仿宋_GB2312" w:cs="仿宋_GB2312"/>
                <w:color w:val="000000"/>
                <w:kern w:val="0"/>
                <w:sz w:val="22"/>
                <w:szCs w:val="22"/>
                <w:lang w:eastAsia="zh-CN"/>
              </w:rPr>
              <w:t>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1425"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49</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产业集中入园</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实施土地集约利用项目与新型基建项目，开展园区土地利用标准化评价，加大存量建设用地盘活力度，实施土地利用计划指标配置与存量建设用地盘活挂钩制度；打造面向园区的新型信息基础设施，拓展工业互联网网络化标识覆盖范围，推动园区企业开放生产制造场景和数据。</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highlight w:val="none"/>
              </w:rPr>
              <w:t>推动“一国五省”6个园区整合托管周边小规模工业园区，实行统一管理、统一规划和统筹发展。</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发改委</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自然资源</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val="en-US"/>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lang w:val="en-US" w:eastAsia="zh-CN"/>
              </w:rPr>
              <w:t>工信局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79" w:type="dxa"/>
            <w:left w:w="108" w:type="dxa"/>
            <w:bottom w:w="79" w:type="dxa"/>
            <w:right w:w="108" w:type="dxa"/>
          </w:tblCellMar>
        </w:tblPrEx>
        <w:trPr>
          <w:trHeight w:val="2132" w:hRule="atLeast"/>
          <w:jc w:val="center"/>
        </w:trPr>
        <w:tc>
          <w:tcPr>
            <w:tcW w:w="436"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50</w:t>
            </w:r>
          </w:p>
        </w:tc>
        <w:tc>
          <w:tcPr>
            <w:tcW w:w="2045"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绿色文化培育</w:t>
            </w:r>
          </w:p>
        </w:tc>
        <w:tc>
          <w:tcPr>
            <w:tcW w:w="6111"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val="en-US" w:eastAsia="zh-CN"/>
              </w:rPr>
              <w:t>围绕木兰溪流域，坚持保护优先、综合治理原则。巩固深化拓展“莆阳开春”成果的基础上，持续推进“绿心”“水上巴士”、木兰陂风景区、泗华郊野公园、十里风光带、岛岸一体、滨海旅游等项目，在全市范围内策划开展“莆阳爽夏”“莆阳赏秋”文旅系列活动，通过打开“时间开关”，激活莆田文旅经济。围绕木兰溪十里风光带，策划</w:t>
            </w:r>
            <w:r>
              <w:rPr>
                <w:rFonts w:hint="eastAsia" w:ascii="仿宋_GB2312" w:hAnsi="仿宋_GB2312" w:cs="仿宋_GB2312"/>
                <w:color w:val="000000"/>
                <w:kern w:val="0"/>
                <w:sz w:val="22"/>
                <w:szCs w:val="22"/>
                <w:lang w:val="en-US" w:eastAsia="zh-CN"/>
              </w:rPr>
              <w:t>木</w:t>
            </w:r>
            <w:r>
              <w:rPr>
                <w:rFonts w:hint="eastAsia" w:ascii="仿宋_GB2312" w:hAnsi="仿宋_GB2312" w:eastAsia="仿宋_GB2312" w:cs="仿宋_GB2312"/>
                <w:color w:val="000000"/>
                <w:kern w:val="0"/>
                <w:sz w:val="22"/>
                <w:szCs w:val="22"/>
                <w:lang w:val="en-US" w:eastAsia="zh-CN"/>
              </w:rPr>
              <w:t>兰溪流域文旅项目，纳入全市文旅招商项目库，赴国内重要城市开展招商推介。</w:t>
            </w:r>
          </w:p>
        </w:tc>
        <w:tc>
          <w:tcPr>
            <w:tcW w:w="3944" w:type="dxa"/>
            <w:noWrap w:val="0"/>
            <w:vAlign w:val="center"/>
          </w:tcPr>
          <w:p>
            <w:pPr>
              <w:keepNext w:val="0"/>
              <w:keepLines w:val="0"/>
              <w:widowControl/>
              <w:suppressLineNumbers w:val="0"/>
              <w:overflowPunct w:val="0"/>
              <w:adjustRightInd w:val="0"/>
              <w:snapToGrid w:val="0"/>
              <w:spacing w:before="0" w:beforeAutospacing="0" w:after="0" w:afterAutospacing="0"/>
              <w:ind w:left="0" w:right="0"/>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结合生态空间保护格局</w:t>
            </w: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rPr>
              <w:t>重点围绕</w:t>
            </w:r>
            <w:r>
              <w:rPr>
                <w:rFonts w:hint="eastAsia" w:ascii="仿宋_GB2312" w:hAnsi="仿宋_GB2312" w:eastAsia="仿宋_GB2312" w:cs="仿宋_GB2312"/>
                <w:color w:val="000000"/>
                <w:kern w:val="0"/>
                <w:sz w:val="22"/>
                <w:szCs w:val="22"/>
                <w:lang w:eastAsia="zh-CN"/>
              </w:rPr>
              <w:t>海洋生态、仙游北部山区、</w:t>
            </w:r>
            <w:r>
              <w:rPr>
                <w:rFonts w:hint="eastAsia" w:ascii="仿宋_GB2312" w:hAnsi="仿宋_GB2312" w:eastAsia="仿宋_GB2312" w:cs="仿宋_GB2312"/>
                <w:color w:val="000000"/>
                <w:kern w:val="0"/>
                <w:sz w:val="22"/>
                <w:szCs w:val="22"/>
              </w:rPr>
              <w:t>木兰溪流域</w:t>
            </w:r>
            <w:r>
              <w:rPr>
                <w:rFonts w:hint="eastAsia" w:ascii="仿宋_GB2312" w:hAnsi="仿宋_GB2312" w:eastAsia="仿宋_GB2312" w:cs="仿宋_GB2312"/>
                <w:color w:val="000000"/>
                <w:kern w:val="0"/>
                <w:sz w:val="22"/>
                <w:szCs w:val="22"/>
                <w:lang w:eastAsia="zh-CN"/>
              </w:rPr>
              <w:t>生态文化</w:t>
            </w:r>
            <w:r>
              <w:rPr>
                <w:rFonts w:hint="eastAsia" w:ascii="仿宋_GB2312" w:hAnsi="仿宋_GB2312" w:eastAsia="仿宋_GB2312" w:cs="仿宋_GB2312"/>
                <w:color w:val="000000"/>
                <w:kern w:val="0"/>
                <w:sz w:val="22"/>
                <w:szCs w:val="22"/>
              </w:rPr>
              <w:t>，坚持保护优先、系统治理，一体推进生态环境</w:t>
            </w: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rPr>
              <w:t>山海保护、水文化景观</w:t>
            </w:r>
            <w:r>
              <w:rPr>
                <w:rFonts w:hint="eastAsia" w:ascii="仿宋_GB2312" w:hAnsi="仿宋_GB2312" w:eastAsia="仿宋_GB2312" w:cs="仿宋_GB2312"/>
                <w:color w:val="000000"/>
                <w:kern w:val="0"/>
                <w:sz w:val="22"/>
                <w:szCs w:val="22"/>
                <w:lang w:eastAsia="zh-CN"/>
              </w:rPr>
              <w:t>等绿色保护培育</w:t>
            </w:r>
            <w:r>
              <w:rPr>
                <w:rFonts w:hint="eastAsia" w:ascii="仿宋_GB2312" w:hAnsi="仿宋_GB2312" w:eastAsia="仿宋_GB2312" w:cs="仿宋_GB2312"/>
                <w:color w:val="000000"/>
                <w:kern w:val="0"/>
                <w:sz w:val="22"/>
                <w:szCs w:val="22"/>
              </w:rPr>
              <w:t>。</w:t>
            </w:r>
          </w:p>
        </w:tc>
        <w:tc>
          <w:tcPr>
            <w:tcW w:w="1638" w:type="dxa"/>
            <w:noWrap w:val="0"/>
            <w:vAlign w:val="center"/>
          </w:tcPr>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发改委</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lang w:eastAsia="zh-CN"/>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生态环境</w:t>
            </w:r>
            <w:r>
              <w:rPr>
                <w:rFonts w:hint="eastAsia" w:ascii="仿宋_GB2312" w:hAnsi="仿宋_GB2312" w:eastAsia="仿宋_GB2312" w:cs="仿宋_GB2312"/>
                <w:color w:val="000000"/>
                <w:kern w:val="0"/>
                <w:sz w:val="22"/>
                <w:szCs w:val="22"/>
                <w:lang w:eastAsia="zh-CN"/>
              </w:rPr>
              <w:t>局</w:t>
            </w:r>
          </w:p>
          <w:p>
            <w:pPr>
              <w:keepNext w:val="0"/>
              <w:keepLines w:val="0"/>
              <w:widowControl/>
              <w:suppressLineNumbers w:val="0"/>
              <w:overflowPunct w:val="0"/>
              <w:adjustRightInd w:val="0"/>
              <w:snapToGrid w:val="0"/>
              <w:spacing w:before="0" w:beforeAutospacing="0" w:after="0" w:afterAutospacing="0"/>
              <w:ind w:left="0" w:right="0"/>
              <w:jc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市</w:t>
            </w:r>
            <w:r>
              <w:rPr>
                <w:rFonts w:hint="eastAsia" w:ascii="仿宋_GB2312" w:hAnsi="仿宋_GB2312" w:eastAsia="仿宋_GB2312" w:cs="仿宋_GB2312"/>
                <w:color w:val="000000"/>
                <w:kern w:val="0"/>
                <w:sz w:val="22"/>
                <w:szCs w:val="22"/>
              </w:rPr>
              <w:t>文旅</w:t>
            </w:r>
            <w:r>
              <w:rPr>
                <w:rFonts w:hint="eastAsia" w:ascii="仿宋_GB2312" w:hAnsi="仿宋_GB2312" w:eastAsia="仿宋_GB2312" w:cs="仿宋_GB2312"/>
                <w:color w:val="000000"/>
                <w:kern w:val="0"/>
                <w:sz w:val="22"/>
                <w:szCs w:val="22"/>
                <w:lang w:eastAsia="zh-CN"/>
              </w:rPr>
              <w:t>局</w:t>
            </w:r>
          </w:p>
        </w:tc>
      </w:tr>
    </w:tbl>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楷体" w:hAnsi="楷体" w:eastAsia="楷体" w:cs="楷体"/>
          <w:bCs/>
          <w:color w:val="000000"/>
          <w:sz w:val="16"/>
          <w:szCs w:val="16"/>
          <w:lang w:val="en-US" w:eastAsia="zh-CN"/>
        </w:rPr>
      </w:pPr>
    </w:p>
    <w:p>
      <w:pPr>
        <w:spacing w:line="596" w:lineRule="exact"/>
        <w:textAlignment w:val="top"/>
        <w:rPr>
          <w:rFonts w:hint="eastAsia"/>
          <w:szCs w:val="31"/>
        </w:rPr>
      </w:pPr>
    </w:p>
    <w:p>
      <w:pPr>
        <w:jc w:val="center"/>
        <w:outlineLvl w:val="0"/>
        <w:rPr>
          <w:rFonts w:hint="eastAsia" w:ascii="黑体" w:hAnsi="黑体" w:eastAsia="黑体" w:cs="黑体"/>
          <w:b/>
          <w:bCs w:val="0"/>
          <w:color w:val="000000"/>
          <w:sz w:val="32"/>
          <w:szCs w:val="32"/>
          <w:lang w:val="en-US" w:eastAsia="zh-CN"/>
        </w:rPr>
      </w:pPr>
    </w:p>
    <w:p>
      <w:pPr>
        <w:jc w:val="center"/>
        <w:outlineLvl w:val="0"/>
        <w:rPr>
          <w:rFonts w:hint="eastAsia" w:ascii="黑体" w:hAnsi="黑体" w:eastAsia="黑体" w:cs="黑体"/>
          <w:b/>
          <w:bCs w:val="0"/>
          <w:color w:val="000000"/>
          <w:sz w:val="32"/>
          <w:szCs w:val="32"/>
          <w:lang w:val="en-US" w:eastAsia="zh-CN"/>
        </w:rPr>
        <w:sectPr>
          <w:footerReference r:id="rId7" w:type="default"/>
          <w:pgSz w:w="16838" w:h="11906" w:orient="landscape"/>
          <w:pgMar w:top="1587" w:right="1928" w:bottom="1587" w:left="1928" w:header="851" w:footer="1417" w:gutter="0"/>
          <w:pgNumType w:fmt="numberInDash" w:start="34"/>
          <w:cols w:space="720" w:num="1"/>
          <w:rtlGutter w:val="0"/>
          <w:docGrid w:type="lines" w:linePitch="457" w:charSpace="0"/>
        </w:sectPr>
      </w:pPr>
    </w:p>
    <w:bookmarkEnd w:id="25"/>
    <w:bookmarkEnd w:id="26"/>
    <w:bookmarkEnd w:id="27"/>
    <w:bookmarkEnd w:id="28"/>
    <w:bookmarkEnd w:id="29"/>
    <w:p>
      <w:pPr>
        <w:spacing w:line="596" w:lineRule="exact"/>
        <w:textAlignment w:val="top"/>
        <w:rPr>
          <w:rFonts w:hint="eastAsia"/>
          <w:szCs w:val="31"/>
        </w:rPr>
      </w:pPr>
    </w:p>
    <w:bookmarkEnd w:id="0"/>
    <w:p>
      <w:bookmarkStart w:id="31" w:name="_GoBack"/>
      <w:bookmarkEnd w:id="31"/>
    </w:p>
    <w:sectPr>
      <w:headerReference r:id="rId8" w:type="default"/>
      <w:footerReference r:id="rId9" w:type="default"/>
      <w:pgSz w:w="11906" w:h="16838"/>
      <w:pgMar w:top="2098" w:right="1418" w:bottom="1588" w:left="1588" w:header="851" w:footer="1361" w:gutter="0"/>
      <w:pgNumType w:fmt="numberInDash"/>
      <w:cols w:space="720" w:num="1"/>
      <w:docGrid w:type="linesAndChars" w:linePitch="596" w:charSpace="16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
    <w:panose1 w:val="02010609060101010101"/>
    <w:charset w:val="86"/>
    <w:family w:val="modern"/>
    <w:pitch w:val="default"/>
    <w:sig w:usb0="800002BF" w:usb1="38CF7CFA" w:usb2="00000016" w:usb3="00000000" w:csb0="00040001" w:csb1="00000000"/>
  </w:font>
  <w:font w:name="Noto Sans CJK HK">
    <w:panose1 w:val="020B0500000000000000"/>
    <w:charset w:val="88"/>
    <w:family w:val="auto"/>
    <w:pitch w:val="default"/>
    <w:sig w:usb0="30000083" w:usb1="2BDF3C10" w:usb2="00000016" w:usb3="00000000" w:csb0="603A0107"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40"/>
        <w:tab w:val="right" w:pos="8300"/>
      </w:tabs>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BhrYRyMwIAAGMEAAAOAAAAAAAAAAEAIAAA&#10;ADUBAABkcnMvZTJvRG9jLnhtbFBLBQYAAAAABgAGAFkBAADa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546735" cy="273685"/>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546735" cy="273685"/>
                      </a:xfrm>
                      <a:prstGeom prst="rect">
                        <a:avLst/>
                      </a:prstGeom>
                      <a:noFill/>
                      <a:ln>
                        <a:noFill/>
                      </a:ln>
                    </wps:spPr>
                    <wps:txbx>
                      <w:txbxContent>
                        <w:p>
                          <w:pPr>
                            <w:pStyle w:val="5"/>
                            <w:tabs>
                              <w:tab w:val="center" w:pos="4140"/>
                              <w:tab w:val="right" w:pos="8300"/>
                              <w:tab w:val="clear" w:pos="4153"/>
                              <w:tab w:val="clear" w:pos="8306"/>
                            </w:tabs>
                            <w:rPr>
                              <w:rFonts w:hint="eastAsia" w:ascii="宋体" w:hAnsi="宋体" w:eastAsia="宋体" w:cs="宋体"/>
                              <w:sz w:val="28"/>
                              <w:szCs w:val="28"/>
                            </w:rPr>
                          </w:pPr>
                        </w:p>
                      </w:txbxContent>
                    </wps:txbx>
                    <wps:bodyPr lIns="0" tIns="0" rIns="0" bIns="0" upright="0"/>
                  </wps:wsp>
                </a:graphicData>
              </a:graphic>
            </wp:anchor>
          </w:drawing>
        </mc:Choice>
        <mc:Fallback>
          <w:pict>
            <v:shape id="_x0000_s1026" o:spid="_x0000_s1026" o:spt="202" type="#_x0000_t202" style="position:absolute;left:0pt;margin-top:0pt;height:21.55pt;width:43.05pt;mso-position-horizontal:outside;mso-position-horizontal-relative:margin;z-index:251665408;mso-width-relative:page;mso-height-relative:page;" filled="f" stroked="f" coordsize="21600,21600" o:gfxdata="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NY2TJnUAAAAAwEAAA8AAAAAAAAAAQAgAAAAOAAA&#10;AGRycy9kb3ducmV2LnhtbFBLAQIUABQAAAAIAIdO4kD/lc4UvQEAAHMDAAAOAAAAAAAAAAEAIAAA&#10;ADkBAABkcnMvZTJvRG9jLnhtbFBLBQYAAAAABgAGAFkBAABoBQAAAAA=&#10;">
              <v:fill on="f" focussize="0,0"/>
              <v:stroke on="f"/>
              <v:imagedata o:title=""/>
              <o:lock v:ext="edit" aspectratio="f"/>
              <v:textbox inset="0mm,0mm,0mm,0mm">
                <w:txbxContent>
                  <w:p>
                    <w:pPr>
                      <w:pStyle w:val="5"/>
                      <w:tabs>
                        <w:tab w:val="center" w:pos="4140"/>
                        <w:tab w:val="right" w:pos="8300"/>
                        <w:tab w:val="clear" w:pos="4153"/>
                        <w:tab w:val="clear" w:pos="8306"/>
                      </w:tabs>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tabs>
                              <w:tab w:val="center" w:pos="4140"/>
                              <w:tab w:val="right" w:pos="8300"/>
                            </w:tabs>
                            <w:rPr>
                              <w:rFonts w:hint="eastAsia" w:eastAsia="宋体"/>
                              <w:lang w:eastAsia="zh-C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PjZf37KAQAAmwMAAA4AAAAA&#10;AAAAAQAgAAAANAEAAGRycy9lMm9Eb2MueG1sUEsFBgAAAAAGAAYAWQEAAHAFAAAAAA==&#10;">
              <v:fill on="f" focussize="0,0"/>
              <v:stroke on="f"/>
              <v:imagedata o:title=""/>
              <o:lock v:ext="edit" aspectratio="f"/>
              <v:textbox inset="0mm,0mm,0mm,0mm" style="mso-fit-shape-to-text:t;">
                <w:txbxContent>
                  <w:p>
                    <w:pPr>
                      <w:pStyle w:val="5"/>
                      <w:tabs>
                        <w:tab w:val="center" w:pos="4140"/>
                        <w:tab w:val="right" w:pos="8300"/>
                      </w:tabs>
                      <w:rPr>
                        <w:rFonts w:hint="eastAsia" w:eastAsia="宋体"/>
                        <w:lang w:eastAsia="zh-CN"/>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tabs>
                              <w:tab w:val="center" w:pos="4140"/>
                              <w:tab w:val="right" w:pos="8300"/>
                            </w:tabs>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OkYhAbKAQAAmwMAAA4AAAAA&#10;AAAAAQAgAAAANAEAAGRycy9lMm9Eb2MueG1sUEsFBgAAAAAGAAYAWQEAAHAFAAAAAA==&#10;">
              <v:fill on="f" focussize="0,0"/>
              <v:stroke on="f"/>
              <v:imagedata o:title=""/>
              <o:lock v:ext="edit" aspectratio="f"/>
              <v:textbox inset="0mm,0mm,0mm,0mm" style="mso-fit-shape-to-text:t;">
                <w:txbxContent>
                  <w:p>
                    <w:pPr>
                      <w:pStyle w:val="5"/>
                      <w:tabs>
                        <w:tab w:val="center" w:pos="4140"/>
                        <w:tab w:val="right" w:pos="8300"/>
                      </w:tabs>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40"/>
        <w:tab w:val="right" w:pos="8300"/>
      </w:tabs>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mU02ZMgIAAGM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ZTTZkyAgAAYwQAAA4AAAAAAAAAAQAgAAAA&#10;NQEAAGRycy9lMm9Eb2MueG1sUEsFBgAAAAAGAAYAWQEAANk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- 3 -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tabs>
                              <w:tab w:val="center" w:pos="4140"/>
                              <w:tab w:val="right" w:pos="8300"/>
                            </w:tabs>
                            <w:rPr>
                              <w:rFonts w:hint="eastAsia" w:ascii="宋体" w:hAnsi="宋体" w:eastAsia="宋体" w:cs="宋体"/>
                              <w:sz w:val="28"/>
                              <w:szCs w:val="2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NpbiI/KAQAAmwMAAA4AAAAA&#10;AAAAAQAgAAAANAEAAGRycy9lMm9Eb2MueG1sUEsFBgAAAAAGAAYAWQEAAHAFAAAAAA==&#10;">
              <v:fill on="f" focussize="0,0"/>
              <v:stroke on="f"/>
              <v:imagedata o:title=""/>
              <o:lock v:ext="edit" aspectratio="f"/>
              <v:textbox inset="0mm,0mm,0mm,0mm" style="mso-fit-shape-to-text:t;">
                <w:txbxContent>
                  <w:p>
                    <w:pPr>
                      <w:pStyle w:val="5"/>
                      <w:tabs>
                        <w:tab w:val="center" w:pos="4140"/>
                        <w:tab w:val="right" w:pos="8300"/>
                      </w:tabs>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tabs>
                              <w:tab w:val="center" w:pos="4140"/>
                              <w:tab w:val="right" w:pos="8300"/>
                            </w:tabs>
                            <w:rPr>
                              <w:rFonts w:hint="eastAsia" w:eastAsia="宋体"/>
                              <w:lang w:eastAsia="zh-CN"/>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HI4TV7KAQAAmwMAAA4AAAAA&#10;AAAAAQAgAAAANAEAAGRycy9lMm9Eb2MueG1sUEsFBgAAAAAGAAYAWQEAAHAFAAAAAA==&#10;">
              <v:fill on="f" focussize="0,0"/>
              <v:stroke on="f"/>
              <v:imagedata o:title=""/>
              <o:lock v:ext="edit" aspectratio="f"/>
              <v:textbox inset="0mm,0mm,0mm,0mm" style="mso-fit-shape-to-text:t;">
                <w:txbxContent>
                  <w:p>
                    <w:pPr>
                      <w:pStyle w:val="5"/>
                      <w:tabs>
                        <w:tab w:val="center" w:pos="4140"/>
                        <w:tab w:val="right" w:pos="8300"/>
                      </w:tabs>
                      <w:rPr>
                        <w:rFonts w:hint="eastAsia" w:eastAsia="宋体"/>
                        <w:lang w:eastAsia="zh-CN"/>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tabs>
                              <w:tab w:val="center" w:pos="4140"/>
                              <w:tab w:val="right" w:pos="8300"/>
                            </w:tabs>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GP5tibKAQAAmwMAAA4AAAAA&#10;AAAAAQAgAAAANAEAAGRycy9lMm9Eb2MueG1sUEsFBgAAAAAGAAYAWQEAAHAFAAAAAA==&#10;">
              <v:fill on="f" focussize="0,0"/>
              <v:stroke on="f"/>
              <v:imagedata o:title=""/>
              <o:lock v:ext="edit" aspectratio="f"/>
              <v:textbox inset="0mm,0mm,0mm,0mm" style="mso-fit-shape-to-text:t;">
                <w:txbxContent>
                  <w:p>
                    <w:pPr>
                      <w:pStyle w:val="5"/>
                      <w:tabs>
                        <w:tab w:val="center" w:pos="4140"/>
                        <w:tab w:val="right" w:pos="8300"/>
                      </w:tabs>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40"/>
        <w:tab w:val="right" w:pos="8300"/>
      </w:tabs>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tabs>
                              <w:tab w:val="center" w:pos="4140"/>
                              <w:tab w:val="right" w:pos="830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III</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zpjtz8kBAACbAwAADgAAAAAA&#10;AAABACAAAAA0AQAAZHJzL2Uyb0RvYy54bWxQSwUGAAAAAAYABgBZAQAAbwUAAAAA&#10;">
              <v:fill on="f" focussize="0,0"/>
              <v:stroke on="f"/>
              <v:imagedata o:title=""/>
              <o:lock v:ext="edit" aspectratio="f"/>
              <v:textbox inset="0mm,0mm,0mm,0mm" style="mso-fit-shape-to-text:t;">
                <w:txbxContent>
                  <w:p>
                    <w:pPr>
                      <w:pStyle w:val="5"/>
                      <w:tabs>
                        <w:tab w:val="center" w:pos="4140"/>
                        <w:tab w:val="right" w:pos="830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III</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140"/>
        <w:tab w:val="right" w:pos="8300"/>
      </w:tabs>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tabs>
                              <w:tab w:val="center" w:pos="4140"/>
                              <w:tab w:val="right" w:pos="830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III</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A1Z7MkBAACbAwAADgAAAAAA&#10;AAABACAAAAA0AQAAZHJzL2Uyb0RvYy54bWxQSwUGAAAAAAYABgBZAQAAbwUAAAAA&#10;">
              <v:fill on="f" focussize="0,0"/>
              <v:stroke on="f"/>
              <v:imagedata o:title=""/>
              <o:lock v:ext="edit" aspectratio="f"/>
              <v:textbox inset="0mm,0mm,0mm,0mm" style="mso-fit-shape-to-text:t;">
                <w:txbxContent>
                  <w:p>
                    <w:pPr>
                      <w:pStyle w:val="5"/>
                      <w:tabs>
                        <w:tab w:val="center" w:pos="4140"/>
                        <w:tab w:val="right" w:pos="8300"/>
                      </w:tabs>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III</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3165B"/>
    <w:rsid w:val="02AD2FF8"/>
    <w:rsid w:val="083E329D"/>
    <w:rsid w:val="09A80A78"/>
    <w:rsid w:val="0B7DE8A3"/>
    <w:rsid w:val="0F777F91"/>
    <w:rsid w:val="155A068D"/>
    <w:rsid w:val="15BC38CB"/>
    <w:rsid w:val="18316CF4"/>
    <w:rsid w:val="1D476932"/>
    <w:rsid w:val="1FE346C3"/>
    <w:rsid w:val="20C05CA4"/>
    <w:rsid w:val="27B3165B"/>
    <w:rsid w:val="2A7C4A40"/>
    <w:rsid w:val="2BDB1A9E"/>
    <w:rsid w:val="39747FCA"/>
    <w:rsid w:val="3C537C6D"/>
    <w:rsid w:val="3DB237BD"/>
    <w:rsid w:val="3DEF4651"/>
    <w:rsid w:val="477566F5"/>
    <w:rsid w:val="47CF1672"/>
    <w:rsid w:val="4F3B6B8E"/>
    <w:rsid w:val="563F73F1"/>
    <w:rsid w:val="597E6013"/>
    <w:rsid w:val="5F57E32E"/>
    <w:rsid w:val="63E1439B"/>
    <w:rsid w:val="640C73CC"/>
    <w:rsid w:val="6FF458F0"/>
    <w:rsid w:val="7F0855EA"/>
    <w:rsid w:val="B75C7146"/>
    <w:rsid w:val="BBF73941"/>
    <w:rsid w:val="D93FAC7E"/>
    <w:rsid w:val="E7BFDAF8"/>
    <w:rsid w:val="FE9FF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character" w:default="1" w:styleId="11">
    <w:name w:val="Default Paragraph Font"/>
    <w:link w:val="12"/>
    <w:semiHidden/>
    <w:qFormat/>
    <w:uiPriority w:val="0"/>
    <w:rPr>
      <w:rFonts w:ascii="Tahoma" w:hAnsi="Tahoma" w:eastAsia="宋体" w:cs="Tahoma"/>
      <w:sz w:val="24"/>
    </w:rPr>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widowControl w:val="0"/>
      <w:spacing w:after="0"/>
      <w:ind w:firstLine="420" w:firstLineChars="200"/>
      <w:jc w:val="both"/>
    </w:pPr>
    <w:rPr>
      <w:rFonts w:ascii="Calibri" w:hAnsi="Calibri" w:eastAsia="仿宋" w:cs="Arial"/>
      <w:kern w:val="2"/>
      <w:sz w:val="32"/>
      <w:szCs w:val="22"/>
      <w:lang w:val="en-US" w:eastAsia="zh-CN" w:bidi="ar-SA"/>
    </w:rPr>
  </w:style>
  <w:style w:type="paragraph" w:styleId="3">
    <w:name w:val="Plain Text"/>
    <w:basedOn w:val="1"/>
    <w:qFormat/>
    <w:uiPriority w:val="0"/>
    <w:pPr>
      <w:widowControl w:val="0"/>
      <w:spacing w:after="0"/>
      <w:jc w:val="both"/>
    </w:pPr>
    <w:rPr>
      <w:rFonts w:ascii="宋体" w:hAnsi="Times New Roman" w:eastAsia="宋体" w:cs="Times New Roman"/>
      <w:kern w:val="2"/>
      <w:sz w:val="32"/>
      <w:szCs w:val="20"/>
      <w:lang w:val="en-US" w:eastAsia="zh-CN" w:bidi="ar-SA"/>
    </w:rPr>
  </w:style>
  <w:style w:type="paragraph" w:styleId="4">
    <w:name w:val="Date"/>
    <w:basedOn w:val="1"/>
    <w:next w:val="1"/>
    <w:qFormat/>
    <w:uiPriority w:val="0"/>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widowControl w:val="0"/>
      <w:spacing w:after="0"/>
      <w:jc w:val="both"/>
    </w:pPr>
    <w:rPr>
      <w:rFonts w:ascii="Calibri" w:hAnsi="Calibri" w:eastAsia="宋体" w:cs="Times New Roman"/>
      <w:kern w:val="2"/>
      <w:sz w:val="21"/>
      <w:szCs w:val="24"/>
      <w:lang w:val="en-US" w:eastAsia="zh-CN" w:bidi="ar-SA"/>
    </w:rPr>
  </w:style>
  <w:style w:type="paragraph" w:styleId="8">
    <w:name w:val="toc 2"/>
    <w:basedOn w:val="1"/>
    <w:next w:val="1"/>
    <w:qFormat/>
    <w:uiPriority w:val="0"/>
    <w:pPr>
      <w:widowControl w:val="0"/>
      <w:adjustRightInd/>
      <w:snapToGrid/>
      <w:spacing w:before="0" w:after="0" w:line="240" w:lineRule="auto"/>
      <w:ind w:left="200" w:leftChars="200" w:right="0" w:firstLine="0"/>
      <w:jc w:val="both"/>
    </w:pPr>
    <w:rPr>
      <w:rFonts w:ascii="等线" w:hAnsi="Times New Roman" w:eastAsia="等线" w:cs="Times New Roman"/>
      <w:snapToGrid/>
      <w:kern w:val="2"/>
      <w:sz w:val="21"/>
      <w:szCs w:val="22"/>
      <w:lang w:val="en-US" w:eastAsia="zh-CN" w:bidi="ar-SA"/>
    </w:rPr>
  </w:style>
  <w:style w:type="table" w:styleId="10">
    <w:name w:val="Table Grid"/>
    <w:basedOn w:val="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12">
    <w:name w:val="Char Char Char Char"/>
    <w:basedOn w:val="1"/>
    <w:link w:val="11"/>
    <w:qFormat/>
    <w:uiPriority w:val="0"/>
    <w:rPr>
      <w:rFonts w:ascii="Tahoma" w:hAnsi="Tahoma" w:eastAsia="宋体" w:cs="Tahoma"/>
      <w:sz w:val="24"/>
    </w:rPr>
  </w:style>
  <w:style w:type="character" w:styleId="13">
    <w:name w:val="Strong"/>
    <w:basedOn w:val="11"/>
    <w:qFormat/>
    <w:uiPriority w:val="0"/>
    <w:rPr>
      <w:rFonts w:ascii="Times New Roman" w:hAnsi="Times New Roman" w:eastAsia="宋体" w:cs="Times New Roman"/>
      <w:b/>
      <w:bCs/>
      <w:sz w:val="21"/>
    </w:rPr>
  </w:style>
  <w:style w:type="character" w:styleId="14">
    <w:name w:val="page number"/>
    <w:basedOn w:val="11"/>
    <w:qFormat/>
    <w:uiPriority w:val="0"/>
  </w:style>
  <w:style w:type="character" w:customStyle="1" w:styleId="15">
    <w:name w:val="font7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2022-03-02T21:39:00Z</dcterms:created>
  <dc:creator>莆田市府办管理员</dc:creator>
  <cp:lastModifiedBy>ptxc</cp:lastModifiedBy>
  <cp:lastPrinted>2025-06-13T11:45:00Z</cp:lastPrinted>
  <dcterms:modified xsi:type="dcterms:W3CDTF">2025-06-30T16:35:34Z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388C8173A8BEECBE564C6268AF4187B4</vt:lpwstr>
  </property>
</Properties>
</file>