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b/>
          <w:bCs w:val="0"/>
          <w:i w:val="0"/>
          <w:caps w:val="0"/>
          <w:color w:val="333333"/>
          <w:spacing w:val="0"/>
          <w:sz w:val="10"/>
          <w:szCs w:val="10"/>
          <w:shd w:val="clear" w:fill="FFFFFF"/>
        </w:rPr>
      </w:pPr>
      <w:r>
        <w:rPr>
          <w:rFonts w:ascii="Arial" w:hAnsi="Arial" w:eastAsia="宋体" w:cs="Arial"/>
          <w:b/>
          <w:bCs w:val="0"/>
          <w:i w:val="0"/>
          <w:caps w:val="0"/>
          <w:color w:val="333333"/>
          <w:spacing w:val="0"/>
          <w:sz w:val="36"/>
          <w:szCs w:val="36"/>
          <w:shd w:val="clear" w:fill="FFFFFF"/>
        </w:rPr>
        <w:t>中华人民共和国野生动物保护法</w:t>
      </w:r>
    </w:p>
    <w:p>
      <w:pPr>
        <w:jc w:val="center"/>
        <w:rPr>
          <w:rFonts w:ascii="Arial" w:hAnsi="Arial" w:eastAsia="宋体" w:cs="Arial"/>
          <w:b/>
          <w:bCs w:val="0"/>
          <w:i w:val="0"/>
          <w:caps w:val="0"/>
          <w:color w:val="333333"/>
          <w:spacing w:val="0"/>
          <w:sz w:val="10"/>
          <w:szCs w:val="10"/>
          <w:shd w:val="clear" w:fill="FFFFFF"/>
        </w:rPr>
      </w:pP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center"/>
        <w:textAlignment w:val="auto"/>
        <w:rPr>
          <w:rFonts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为了保护野生动物，拯救珍贵、濒危野生动物，维护生物多样性和生态平衡，推进生态文明建设，制定本法。</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在中华人民共和国领域及管辖的其他海域，从事野生动物保护及相关活动，适用本法。 本法规定保护的野生动物，是指珍贵、濒危的陆生、水生野生动物和有重要生态、科学、社会价值的陆生野生动物。 本法规定的野生动物及其制品，是指野生动物的整体（含卵、蛋）、部分及其衍生物。 珍贵、濒危的水生野生动物以外的其他水生野生动物的保护，适用《中华人民共和国渔业法》等有关法律的规定。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野生动物资源属于国家所有。 国家保障依法从事野生动物科学研究、人工繁育等保护及相关活动的组织和个人的合法权益。</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国家对野生动物实行保护优先、规范利用、严格监管的原则，鼓励开展野生动物科学研究，培育公民保护野生动物的意识，促进人与自然和谐发展。</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国家保护野生动物及其栖息地。县级以上人民政府应当制定野生动物及其栖息地相关保护规划和措施，并将野生动物保护经费纳入预算。 国家鼓励公民、法人和其他组织依法通过捐赠、资助、志愿服务等方式参与野生动物保护活动，支持野生动物保护公益事业。 本法规定的野生动物栖息地，是指野生动物野外种群生息繁衍的重要区域。</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任何组织和个人都有保护野生动物及其栖息地的义务。禁止违法猎捕野生动物、破坏野生动物栖息地。 任何组织和个人都有权向有关部门和机关举报或者控告违反本法的行为。野生动物保护主管部门和其他有关部门、机关对举报或者控告，应当及时依法处理。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国务院林业草原、渔业主管部门分别主管全国陆生、水生野生动物保护工作。 县级以上地方人民政府林业草原、渔业主管部门分别主管本行政区域内陆生、水生野生动物保护工作。</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各级人民政府应当加强野生动物保护的宣传教育和科学知识普及工作，鼓励和支持基层群众性自治组织、社会组织、企业事业单位、志愿者开展野生动物保护法律法规和保护知识的宣传活动。 教育行政部门、学校应当对学生进行野生动物保护知识教育。 新闻媒体应当开展野生动物保护法律法规和保护知识的宣传，对违法行为进行舆论监督。</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在野生动物保护和科学研究方面成绩显著的组织和个人，由县级以上人民政府给予奖励。</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center"/>
        <w:textAlignment w:val="auto"/>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第二章　野生动物及其栖息地保护</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国家对野生动物实行分类分级保护。 国家对珍贵、濒危的野生动物实行重点保护。国家重点保护的野生动物分为一级保护野生动物和二级保护野生动物。国家重点保护野生动物名录，由国务院野生动物保护主管部门组织科学评估后制定，并每五年根据评估情况确定对名录进行调整。国家重点保护野生动物名录报国务院批准公布。 地方重点保护野生动物，是指国家重点保护野生动物以外，由省、自治区、直辖市重点保护的野生动物。地方重点保护野生动物名录，由省、自治区、直辖市人民政府组织科学评估后制定、调整并公布。 有重要生态、科学、社会价值的陆生野生动物名录，由国务院野生动物保护主管部门组织科学评估后制定、调整并公布。</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县级以上人民政府野生动物保护主管部门，应当定期组织或者委托有关科学研究机构对野生动物及其栖息地状况进行调查、监测和评估，建立健全野生动物及其栖息地档案。 对野生动物及其栖息地状况的调查、监测和评估应当包括下列内容： （一）野生动物野外分布区域、种群数量及结构； （二）野生动物栖息地的面积、生态状况； （三）野生动物及其栖息地的主要威胁因素； （四）野生动物人工繁育情况等其他需要调查、监测和评估的内容。</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国务院野生动物保护主管部门应当会同国务院有关部门，根据野生动物及其栖息地状况的调查、监测和评估结果，确定并发布野生动物重要栖息地名录。 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 禁止或者限制在相关自然保护区域内引入外来物种、营造单一纯林、过量施洒农药等人为干扰、威胁野生动物生息繁衍的行为。 相关自然保护区域，依照有关法律法规的规定划定和管理。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 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 建设项目可能对相关自然保护区域、野生动物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各级野生动物保护主管部门应当监视、监测环境对野生动物的影响。由于环境影响对野生动物造成危害时，野生动物保护主管部门应当会同有关部门进行调查处理。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国家或者地方重点保护野生动物受到自然灾害、重大环境污染事故等突发事件威胁时，当地人民政府应当及时采取应急救助措施。 县级以上人民政府野生动物保护主管部门应当按照国家有关规定组织开展野生动物收容救护工作。 禁止以野生动物收容救护为名买卖野生动物及其制品。</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县级以上人民政府野生动物保护主管部门、兽医主管部门，应当按照职责分工对野生动物疫源疫病进行监测，组织开展预测、预报等工作，并按照规定制定野生动物疫情应急预案，报同级人民政府批准或者备案。 县级以上人民政府野生动物保护主管部门、兽医主管部门、卫生主管部门，应当按照职责分工负责与人畜共患传染病有关的动物传染病的防治管理工作。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国家加强对野生动物遗传资源的保护，对濒危野生动物实施抢救性保护。 国务院野生动物保护主管部门应当会同国务院有关部门制定有关野生动物遗传资源保护和利用规划，建立国家野生动物遗传资源基因库，对原产我国的珍贵、濒危野生动物遗传资源实行重点保护。</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有关地方人民政府应当采取措施，预防、控制野生动物可能造成的危害，保障人畜安全和农业、林业生产。</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保护本法规定保护的野生动物，造成人员伤亡、农作物或者其他财产损失的，由当地人民政府给予补偿。具体办法由省、自治区、直辖市人民政府制定。有关地方人民政府可以推动保险机构开展野生动物致害赔偿保险业务。 有关地方人民政府采取预防、控制国家重点保护野生动物造成危害的措施以及实行补偿所需经费，由中央财政按照国家有关规定予以补助。</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center"/>
        <w:textAlignment w:val="auto"/>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第三章　野生动物管理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在相关自然保护区域和禁猎（渔）区、禁猎（渔）期内，禁止猎捕以及其他妨碍野生动物生息繁衍的活动，但法律法规另有规定的除外。 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禁止猎捕、杀害国家重点保护野生动物。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猎捕非国家重点保护野生动物的，应当依法取得县级以上地方人民政府野生动物保护主管部门核发的狩猎证，并且服从猎捕量限额管理。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猎捕者应当按照特许猎捕证、狩猎证规定的种类、数量、地点、工具、方法和期限进行猎捕。 持枪猎捕的，应当依法取得公安机关核发的持枪证。</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使用毒药、爆炸物、电击或者电子诱捕装置以及猎套、猎夹、地枪、排铳等工具进行猎捕，禁止使用夜间照明行猎、歼灭性围猎、捣毁巢穴、火攻、烟熏、网捕等方法进行猎捕，但因科学研究确需网捕、电子诱捕的除外。 前款规定以外的禁止使用的猎捕工具和方法，由县级以上地方人民政府规定并公布。</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国家支持有关科学研究机构因物种保护目的人工繁育国家重点保护野生动物。 前款规定以外的人工繁育国家重点保护野生动物实行许可制度。人工繁育国家重点保护野生动物的，应当经省、自治区、直辖市人民政府野生动物保护主管部门批准，取得人工繁育许可证，但国务院对批准机关另有规定的除外。 人工繁育国家重点保护野生动物应当使用人工繁育子代种源，建立物种系谱、繁育档案和个体数据。因物种保护目的确需采用野外种源的，适用本法第二十一条和第二十三条的规定。 本法所称人工繁育子代，是指人工控制条件下繁殖出生的子代个体且其亲本也在人工控制条件下出生。</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 省级以上人民政府野生动物保护主管部门可以根据保护国家重点保护野生动物的需要，组织开展国家重点保护野生动物放归野外环境工作。</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禁止出售、购买、利用国家重点保护野生动物及其制品。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 实行国家重点保护野生动物及其制品专用标识的范围和管理办法，由国务院野生动物保护主管部门规定。 出售、利用非国家重点保护野生动物的，应当提供狩猎、进出口等合法来源证明。 出售本条第二款、第四款规定的野生动物的，还应当依法附有检疫证明。</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 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利用野生动物及其制品的，应当以人工繁育种群为主，有利于野外种群养护，符合生态文明建设的要求，尊重社会公德，遵守法律法规和国家有关规定。 野生动物及其制品作为药品经营和利用的，还应当遵守有关药品管理的法律法规。</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禁止生产、经营使用国家重点保护野生动物及其制品制作的食品，或者使用没有合法来源证明的非国家重点保护野生动物及其制品制作的食品。 禁止为食用非法购买国家重点保护的野生动物及其制品。</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禁止为出售、购买、利用野生动物或者禁止使用的猎捕工具发布广告。禁止为违法出售、购买、利用野生动物制品发布广告。</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禁止网络交易平台、商品交易市场等交易场所，为违法出售、购买、利用野生动物及其制品或者禁止使用的猎捕工具提供交易服务。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 运输非国家重点保护野生动物出县境的，应当持有狩猎、进出口等合法来源证明，以及检疫证明。</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县级以上人民政府野生动物保护主管部门应当对科学研究、人工繁育、公众展示展演等利用野生动物及其制品的活动进行监督管理。 县级以上人民政府其他有关部门，应当按照职责分工对野生动物及其制品出售、购买、利用、运输、寄递等活动进行监督检查。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中华人民共和国缔结或者参加的国际公约禁止或者限制贸易的野生动物或者其制品名录，由国家濒危物种进出口管理机构制定、调整并公布。 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 涉及科学技术保密的野生动物物种的出口，按照国务院有关规定办理。 列入本条第一款名录的野生动物，经国务院野生动物保护主管部门核准，在本法适用范围内可以按照国家重点保护的野生动物管理。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国家组织开展野生动物保护及相关执法活动的国际合作与交流；建立防范、打击野生动物及其制品的走私和非法贸易的部门协调机制，开展防范、打击走私和非法贸易行动。</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 从境外引进野生动物物种的，应当采取安全可靠的防范措施，防止其进入野外环境，避免对生态系统造成危害。确需将其放归野外的，按照国家有关规定执行。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禁止伪造、变造、买卖、转让、租借特许猎捕证、狩猎证、人工繁育许可证及专用标识，出售、购买、利用国家重点保护野生动物及其制品的批准文件，或者允许进出口证明书、进出口等批准文件。 前款规定的有关许可证书、专用标识、批准文件的发放情况，应当依法公开。</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外国人在我国对国家重点保护野生动物进行野外考察或者在野外拍摄电影、录像，应当经省、自治区、直辖市人民政府野生动物保护主管部门或者其授权的单位批准，并遵守有关法律法规规定。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地方重点保护野生动物和其他非国家重点保护野生动物的管理办法，由省、自治区、直辖市人民代表大会或者其常务委员会制定。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center"/>
        <w:textAlignment w:val="auto"/>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第四章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违反本法第十二条第三款、第十三条第二款规定的，依照有关法律法规的规定处罚。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 违反本法第二十三条第二款规定，未取得持枪证持枪猎捕野生动物，构成违反治安管理行为的，由公安机关依法给予治安管理处罚；构成犯罪的，依法追究刑事责任。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 违反本法第二十七条第五款、第三十三条规定，出售、运输、携带、寄递有关野生动物及其制品未持有或者未附有检疫证明的，依照《中华人民共和国动物防疫法》的规定处罚。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违反本法第三十一条规定，为出售、购买、利用野生动物及其制品或者禁止使用的猎捕工具发布广告的，依照《中华人民共和国广告法》的规定处罚。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违反本法第三十五条规定，进出口野生动物或者其制品的，由海关、公安机关、海洋执法部门依照法律、行政法规和国家有关规定处罚；构成犯罪的，依法追究刑事责任。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依照本法规定没收的实物，由县级以上人民政府野生动物保护主管部门或者其授权的单位按照规定处理。</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本法规定的猎获物价值、野生动物及其制品价值的评估标准和方法，由国务院野生动物保护主管部门制定。</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center"/>
        <w:textAlignment w:val="auto"/>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第五章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w:t>
      </w:r>
    </w:p>
    <w:p>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firstLine="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本法自2017年1月1日起施行。</w:t>
      </w:r>
    </w:p>
    <w:p>
      <w:pPr>
        <w:keepNext w:val="0"/>
        <w:keepLines w:val="0"/>
        <w:pageBreakBefore w:val="0"/>
        <w:kinsoku/>
        <w:wordWrap/>
        <w:overflowPunct/>
        <w:topLinePunct w:val="0"/>
        <w:autoSpaceDE/>
        <w:autoSpaceDN/>
        <w:bidi w:val="0"/>
        <w:adjustRightInd/>
        <w:snapToGrid/>
        <w:spacing w:line="3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366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2020-08-13T07:21:19Z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