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eastAsia="宋体"/>
          <w:b w:val="0"/>
          <w:bCs/>
          <w:sz w:val="32"/>
          <w:szCs w:val="32"/>
          <w:lang w:val="en-US" w:eastAsia="zh-CN"/>
        </w:rPr>
      </w:pPr>
      <w:bookmarkStart w:id="0" w:name="_GoBack"/>
      <w:bookmarkEnd w:id="0"/>
      <w:r>
        <w:rPr>
          <w:rFonts w:hint="eastAsia" w:ascii="宋体"/>
          <w:b w:val="0"/>
          <w:bCs/>
          <w:sz w:val="32"/>
          <w:szCs w:val="32"/>
          <w:lang w:val="en-US" w:eastAsia="zh-CN"/>
        </w:rPr>
        <w:t>附件：</w:t>
      </w:r>
    </w:p>
    <w:p>
      <w:pPr>
        <w:jc w:val="center"/>
        <w:rPr>
          <w:rFonts w:hint="eastAsia" w:ascii="宋体"/>
          <w:b/>
          <w:sz w:val="44"/>
          <w:szCs w:val="44"/>
        </w:rPr>
      </w:pPr>
      <w:r>
        <w:rPr>
          <w:rFonts w:hint="eastAsia" w:ascii="宋体"/>
          <w:b/>
          <w:sz w:val="44"/>
          <w:szCs w:val="44"/>
        </w:rPr>
        <w:t>202</w:t>
      </w:r>
      <w:r>
        <w:rPr>
          <w:rFonts w:hint="eastAsia" w:ascii="宋体"/>
          <w:b/>
          <w:sz w:val="44"/>
          <w:szCs w:val="44"/>
          <w:lang w:val="en-US" w:eastAsia="zh-CN"/>
        </w:rPr>
        <w:t>3</w:t>
      </w:r>
      <w:r>
        <w:rPr>
          <w:rFonts w:hint="eastAsia" w:ascii="宋体"/>
          <w:b/>
          <w:sz w:val="44"/>
          <w:szCs w:val="44"/>
        </w:rPr>
        <w:t>年度通过农业机械推广鉴定</w:t>
      </w:r>
    </w:p>
    <w:p>
      <w:pPr>
        <w:jc w:val="center"/>
        <w:rPr>
          <w:rFonts w:hint="eastAsia" w:ascii="宋体"/>
          <w:b/>
          <w:sz w:val="44"/>
          <w:szCs w:val="44"/>
        </w:rPr>
      </w:pPr>
      <w:r>
        <w:rPr>
          <w:rFonts w:hint="eastAsia" w:ascii="宋体"/>
          <w:b/>
          <w:sz w:val="44"/>
          <w:szCs w:val="44"/>
        </w:rPr>
        <w:t>的产品及证书监督检查实施方案</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根据《福建省农业农村厅  福建省市场监督管理局关于开展202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年“双随机、一公开”跨部门联合抽查工作的通知》（闽农法函〔202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166</w:t>
      </w:r>
      <w:r>
        <w:rPr>
          <w:rFonts w:hint="eastAsia" w:ascii="仿宋_GB2312" w:eastAsia="仿宋_GB2312" w:cs="仿宋_GB2312"/>
          <w:sz w:val="32"/>
          <w:szCs w:val="32"/>
          <w:lang w:bidi="ar-SA"/>
        </w:rPr>
        <w:t>号）要求，为做好202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年度通过农业机械推广鉴定的产品及证书监督检查工作，规范监督检查行为，制定本实施方案。</w:t>
      </w:r>
    </w:p>
    <w:p>
      <w:pPr>
        <w:ind w:firstLine="643" w:firstLineChars="200"/>
        <w:rPr>
          <w:rFonts w:hint="eastAsia" w:ascii="黑体" w:eastAsia="黑体"/>
          <w:b/>
          <w:sz w:val="32"/>
          <w:szCs w:val="32"/>
        </w:rPr>
      </w:pPr>
      <w:r>
        <w:rPr>
          <w:rFonts w:hint="eastAsia" w:ascii="黑体" w:eastAsia="黑体"/>
          <w:b/>
          <w:sz w:val="32"/>
          <w:szCs w:val="32"/>
        </w:rPr>
        <w:t>一、总体要求</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深入贯彻《福建省人民政府办公厅关于推广随机抽查机制规范事中事后监管的实施意见》（闽政办〔2015〕151号）精神，按照《福建省农业农村厅  福建省市场监督管理局关于开展202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年“双随机、一公开”跨部门联合抽查工作的通知》（闽农法函〔202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166</w:t>
      </w:r>
      <w:r>
        <w:rPr>
          <w:rFonts w:hint="eastAsia" w:ascii="仿宋_GB2312" w:eastAsia="仿宋_GB2312" w:cs="仿宋_GB2312"/>
          <w:sz w:val="32"/>
          <w:szCs w:val="32"/>
          <w:lang w:bidi="ar-SA"/>
        </w:rPr>
        <w:t>号）要求，严格遵守依法监督、公正高效的工作原则，开展202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年度通过农业机械推广鉴定的产品及证书监督检查工作。</w:t>
      </w:r>
    </w:p>
    <w:p>
      <w:pPr>
        <w:ind w:firstLine="643" w:firstLineChars="200"/>
        <w:rPr>
          <w:rFonts w:hint="eastAsia" w:ascii="黑体" w:eastAsia="黑体"/>
          <w:b/>
          <w:sz w:val="32"/>
          <w:szCs w:val="32"/>
        </w:rPr>
      </w:pPr>
      <w:r>
        <w:rPr>
          <w:rFonts w:hint="eastAsia" w:ascii="黑体" w:eastAsia="黑体"/>
          <w:b/>
          <w:sz w:val="32"/>
          <w:szCs w:val="32"/>
        </w:rPr>
        <w:t>二、实施内容</w:t>
      </w:r>
    </w:p>
    <w:p>
      <w:pPr>
        <w:ind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bidi="ar-SA"/>
        </w:rPr>
        <w:t>（一）</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事项名称</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年度通过农业机械推广鉴定的产品及证书监督检查。</w:t>
      </w:r>
    </w:p>
    <w:p>
      <w:pPr>
        <w:ind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bidi="ar-SA"/>
        </w:rPr>
        <w:t>（二）</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依据</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1.《农业机械试验鉴定办法》第二十二条规定，农机鉴定机构应当组织对通过农机鉴定的产品及农业机械试验鉴定证书和标志的使用情况进行监督，发现有违反本办法行为的，应当依法处理。</w:t>
      </w:r>
    </w:p>
    <w:p>
      <w:pPr>
        <w:widowControl/>
        <w:shd w:val="clear" w:color="auto" w:fill="FFFFFF"/>
        <w:wordWrap w:val="0"/>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农业机械试验鉴定工作规范》第二十六条规定，鉴定机构负责对发放的证书和标志使用情况进行监督，采取日常监督或专项监督的方式实施。第二十七条规定，日常监督采取“双随机一公开”的抽查方式实施，按比例随机抽取监督对象和监督人员。监督的内容包括：生产者名称、地址及产品一致性情况，证书和标志使用情况。</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3.《农业农村部关于印发&lt;农业机械试验鉴定工作规范&gt;的通知》（农机发〔2019〕3号）第三点要求，农机鉴定机构对发放的证书和标志使用情况进行监督，应依据产品鉴定时所用大纲，并按《规范》执行。</w:t>
      </w:r>
    </w:p>
    <w:p>
      <w:pPr>
        <w:ind w:firstLine="640" w:firstLineChars="200"/>
        <w:rPr>
          <w:rFonts w:hint="eastAsia" w:ascii="仿宋" w:eastAsia="仿宋"/>
          <w:sz w:val="32"/>
          <w:szCs w:val="32"/>
        </w:rPr>
      </w:pPr>
      <w:r>
        <w:rPr>
          <w:rFonts w:hint="eastAsia" w:ascii="楷体_GB2312" w:eastAsia="楷体_GB2312" w:cs="楷体_GB2312"/>
          <w:sz w:val="32"/>
          <w:szCs w:val="32"/>
          <w:lang w:bidi="ar-SA"/>
        </w:rPr>
        <w:t>（三）检</w:t>
      </w:r>
      <w:r>
        <w:rPr>
          <w:rFonts w:hint="eastAsia" w:ascii="楷体_GB2312" w:eastAsia="楷体_GB2312" w:cs="楷体_GB2312"/>
          <w:sz w:val="32"/>
          <w:szCs w:val="32"/>
          <w:lang w:eastAsia="zh-CN" w:bidi="ar-SA"/>
        </w:rPr>
        <w:t>查</w:t>
      </w:r>
      <w:r>
        <w:rPr>
          <w:rFonts w:hint="eastAsia" w:ascii="楷体_GB2312" w:eastAsia="楷体_GB2312" w:cs="楷体_GB2312"/>
          <w:sz w:val="32"/>
          <w:szCs w:val="32"/>
          <w:lang w:bidi="ar-SA"/>
        </w:rPr>
        <w:t>对象</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检查</w:t>
      </w:r>
      <w:r>
        <w:rPr>
          <w:rFonts w:hint="eastAsia" w:ascii="仿宋_GB2312" w:eastAsia="仿宋_GB2312" w:cs="仿宋_GB2312"/>
          <w:sz w:val="32"/>
          <w:szCs w:val="32"/>
          <w:lang w:bidi="ar-SA"/>
        </w:rPr>
        <w:t>对象为20</w:t>
      </w:r>
      <w:r>
        <w:rPr>
          <w:rFonts w:hint="eastAsia" w:ascii="仿宋_GB2312" w:eastAsia="仿宋_GB2312" w:cs="仿宋_GB2312"/>
          <w:sz w:val="32"/>
          <w:szCs w:val="32"/>
          <w:lang w:val="en-US" w:eastAsia="zh-CN" w:bidi="ar-SA"/>
        </w:rPr>
        <w:t>21</w:t>
      </w:r>
      <w:r>
        <w:rPr>
          <w:rFonts w:hint="eastAsia" w:ascii="仿宋_GB2312" w:eastAsia="仿宋_GB2312" w:cs="仿宋_GB2312"/>
          <w:sz w:val="32"/>
          <w:szCs w:val="32"/>
          <w:lang w:bidi="ar-SA"/>
        </w:rPr>
        <w:t>年获得福建省</w:t>
      </w:r>
      <w:r>
        <w:rPr>
          <w:rFonts w:hint="eastAsia" w:ascii="仿宋_GB2312" w:eastAsia="仿宋_GB2312" w:cs="仿宋_GB2312"/>
          <w:sz w:val="32"/>
          <w:szCs w:val="32"/>
          <w:lang w:eastAsia="zh-CN" w:bidi="ar-SA"/>
        </w:rPr>
        <w:t>颁发的</w:t>
      </w:r>
      <w:r>
        <w:rPr>
          <w:rFonts w:hint="eastAsia" w:ascii="仿宋_GB2312" w:eastAsia="仿宋_GB2312" w:cs="仿宋_GB2312"/>
          <w:sz w:val="32"/>
          <w:szCs w:val="32"/>
          <w:lang w:bidi="ar-SA"/>
        </w:rPr>
        <w:t>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鉴定证书的产品及其生产企业。</w:t>
      </w:r>
    </w:p>
    <w:p>
      <w:pPr>
        <w:ind w:firstLine="640" w:firstLineChars="200"/>
        <w:rPr>
          <w:rFonts w:hint="eastAsia" w:ascii="仿宋" w:eastAsia="仿宋"/>
          <w:sz w:val="32"/>
          <w:szCs w:val="32"/>
          <w:lang w:eastAsia="zh-CN"/>
        </w:rPr>
      </w:pPr>
      <w:r>
        <w:rPr>
          <w:rFonts w:hint="eastAsia" w:ascii="楷体_GB2312" w:eastAsia="楷体_GB2312" w:cs="楷体_GB2312"/>
          <w:sz w:val="32"/>
          <w:szCs w:val="32"/>
          <w:lang w:bidi="ar-SA"/>
        </w:rPr>
        <w:t>（四）检查对象和检查人员</w:t>
      </w:r>
      <w:r>
        <w:rPr>
          <w:rFonts w:hint="eastAsia" w:ascii="楷体_GB2312" w:eastAsia="楷体_GB2312" w:cs="楷体_GB2312"/>
          <w:sz w:val="32"/>
          <w:szCs w:val="32"/>
          <w:lang w:eastAsia="zh-CN" w:bidi="ar-SA"/>
        </w:rPr>
        <w:t>的</w:t>
      </w:r>
      <w:r>
        <w:rPr>
          <w:rFonts w:hint="eastAsia" w:ascii="楷体_GB2312" w:eastAsia="楷体_GB2312" w:cs="楷体_GB2312"/>
          <w:sz w:val="32"/>
          <w:szCs w:val="32"/>
          <w:lang w:bidi="ar-SA"/>
        </w:rPr>
        <w:t>抽查方</w:t>
      </w:r>
      <w:r>
        <w:rPr>
          <w:rFonts w:hint="eastAsia" w:ascii="楷体_GB2312" w:eastAsia="楷体_GB2312" w:cs="楷体_GB2312"/>
          <w:sz w:val="32"/>
          <w:szCs w:val="32"/>
          <w:lang w:eastAsia="zh-CN" w:bidi="ar-SA"/>
        </w:rPr>
        <w:t>法</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福建省农业机械推广总站运用农业云131—“双随机、一公开”系统开展联合</w:t>
      </w:r>
      <w:r>
        <w:rPr>
          <w:rFonts w:hint="eastAsia" w:ascii="仿宋_GB2312" w:eastAsia="仿宋_GB2312" w:cs="仿宋_GB2312"/>
          <w:sz w:val="32"/>
          <w:szCs w:val="32"/>
          <w:lang w:eastAsia="zh-CN" w:bidi="ar-SA"/>
        </w:rPr>
        <w:t>抽</w:t>
      </w:r>
      <w:r>
        <w:rPr>
          <w:rFonts w:hint="eastAsia" w:ascii="仿宋_GB2312" w:eastAsia="仿宋_GB2312" w:cs="仿宋_GB2312"/>
          <w:sz w:val="32"/>
          <w:szCs w:val="32"/>
          <w:lang w:bidi="ar-SA"/>
        </w:rPr>
        <w:t>查，检查对象和检查人员从系统名录库中随机抽取。检查对象所在地市场监督管理部门</w:t>
      </w:r>
      <w:r>
        <w:rPr>
          <w:rFonts w:hint="eastAsia" w:ascii="仿宋_GB2312" w:eastAsia="仿宋_GB2312" w:cs="仿宋_GB2312"/>
          <w:sz w:val="32"/>
          <w:szCs w:val="32"/>
          <w:lang w:eastAsia="zh-CN" w:bidi="ar-SA"/>
        </w:rPr>
        <w:t>依据</w:t>
      </w:r>
      <w:r>
        <w:rPr>
          <w:rFonts w:hint="eastAsia" w:ascii="仿宋_GB2312" w:eastAsia="仿宋_GB2312" w:cs="仿宋_GB2312"/>
          <w:sz w:val="32"/>
          <w:szCs w:val="32"/>
          <w:lang w:bidi="ar-SA"/>
        </w:rPr>
        <w:t>福建省农业机械推广总站</w:t>
      </w:r>
      <w:r>
        <w:rPr>
          <w:rFonts w:hint="eastAsia" w:ascii="仿宋_GB2312" w:eastAsia="仿宋_GB2312" w:cs="仿宋_GB2312"/>
          <w:sz w:val="32"/>
          <w:szCs w:val="32"/>
          <w:lang w:eastAsia="zh-CN" w:bidi="ar-SA"/>
        </w:rPr>
        <w:t>提供含有统一社会信用代码的主体名单，</w:t>
      </w:r>
      <w:r>
        <w:rPr>
          <w:rFonts w:hint="eastAsia" w:ascii="仿宋_GB2312" w:eastAsia="仿宋_GB2312" w:cs="仿宋_GB2312"/>
          <w:sz w:val="32"/>
          <w:szCs w:val="32"/>
          <w:lang w:bidi="ar-SA"/>
        </w:rPr>
        <w:t>随机抽</w:t>
      </w:r>
      <w:r>
        <w:rPr>
          <w:rFonts w:hint="eastAsia" w:ascii="仿宋_GB2312" w:eastAsia="仿宋_GB2312" w:cs="仿宋_GB2312"/>
          <w:sz w:val="32"/>
          <w:szCs w:val="32"/>
          <w:lang w:eastAsia="zh-CN" w:bidi="ar-SA"/>
        </w:rPr>
        <w:t>取执法</w:t>
      </w:r>
      <w:r>
        <w:rPr>
          <w:rFonts w:hint="eastAsia" w:ascii="仿宋_GB2312" w:eastAsia="仿宋_GB2312" w:cs="仿宋_GB2312"/>
          <w:sz w:val="32"/>
          <w:szCs w:val="32"/>
          <w:lang w:bidi="ar-SA"/>
        </w:rPr>
        <w:t>检查人员。</w:t>
      </w:r>
    </w:p>
    <w:p>
      <w:pPr>
        <w:ind w:left="0" w:firstLine="480" w:firstLineChars="150"/>
        <w:rPr>
          <w:rFonts w:hint="eastAsia" w:ascii="仿宋" w:eastAsia="仿宋"/>
          <w:sz w:val="32"/>
          <w:szCs w:val="32"/>
        </w:rPr>
      </w:pPr>
      <w:r>
        <w:rPr>
          <w:rFonts w:hint="eastAsia" w:ascii="楷体_GB2312" w:eastAsia="楷体_GB2312" w:cs="楷体_GB2312"/>
          <w:sz w:val="32"/>
          <w:szCs w:val="32"/>
          <w:lang w:bidi="ar-SA"/>
        </w:rPr>
        <w:t>（五）</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内容</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1.生产者名称、地址及产品一致性情况；</w:t>
      </w:r>
    </w:p>
    <w:p>
      <w:pPr>
        <w:ind w:firstLine="640" w:firstLineChars="200"/>
        <w:rPr>
          <w:rFonts w:hint="eastAsia" w:ascii="仿宋" w:eastAsia="仿宋"/>
          <w:sz w:val="32"/>
          <w:szCs w:val="32"/>
        </w:rPr>
      </w:pPr>
      <w:r>
        <w:rPr>
          <w:rFonts w:hint="eastAsia" w:ascii="仿宋_GB2312" w:eastAsia="仿宋_GB2312" w:cs="仿宋_GB2312"/>
          <w:sz w:val="32"/>
          <w:szCs w:val="32"/>
          <w:lang w:bidi="ar-SA"/>
        </w:rPr>
        <w:t>2.农业机械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鉴定证书和</w:t>
      </w:r>
      <w:r>
        <w:rPr>
          <w:rFonts w:hint="eastAsia" w:ascii="仿宋_GB2312" w:eastAsia="仿宋_GB2312" w:cs="仿宋_GB2312"/>
          <w:sz w:val="32"/>
          <w:szCs w:val="32"/>
          <w:lang w:eastAsia="zh-CN" w:bidi="ar-SA"/>
        </w:rPr>
        <w:t>推广鉴定</w:t>
      </w:r>
      <w:r>
        <w:rPr>
          <w:rFonts w:hint="eastAsia" w:ascii="仿宋_GB2312" w:eastAsia="仿宋_GB2312" w:cs="仿宋_GB2312"/>
          <w:sz w:val="32"/>
          <w:szCs w:val="32"/>
          <w:lang w:bidi="ar-SA"/>
        </w:rPr>
        <w:t>标志使用情况。</w:t>
      </w:r>
    </w:p>
    <w:p>
      <w:pPr>
        <w:ind w:firstLine="640" w:firstLineChars="200"/>
        <w:rPr>
          <w:rFonts w:hint="eastAsia" w:ascii="仿宋" w:eastAsia="仿宋"/>
          <w:sz w:val="32"/>
          <w:szCs w:val="32"/>
        </w:rPr>
      </w:pPr>
      <w:r>
        <w:rPr>
          <w:rFonts w:hint="eastAsia" w:ascii="楷体_GB2312" w:eastAsia="楷体_GB2312" w:cs="楷体_GB2312"/>
          <w:sz w:val="32"/>
          <w:szCs w:val="32"/>
          <w:lang w:bidi="ar-SA"/>
        </w:rPr>
        <w:t>（六）</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标准和要点</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1.营业执照上的单位名称、住所应与农业机械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鉴定证书上的</w:t>
      </w:r>
      <w:r>
        <w:rPr>
          <w:rFonts w:hint="eastAsia" w:ascii="仿宋_GB2312" w:eastAsia="仿宋_GB2312" w:cs="仿宋_GB2312"/>
          <w:sz w:val="32"/>
          <w:szCs w:val="32"/>
          <w:lang w:eastAsia="zh-CN" w:bidi="ar-SA"/>
        </w:rPr>
        <w:t>生产者</w:t>
      </w:r>
      <w:r>
        <w:rPr>
          <w:rFonts w:hint="eastAsia" w:ascii="仿宋_GB2312" w:eastAsia="仿宋_GB2312" w:cs="仿宋_GB2312"/>
          <w:sz w:val="32"/>
          <w:szCs w:val="32"/>
          <w:lang w:bidi="ar-SA"/>
        </w:rPr>
        <w:t>名称、注册地址一致。</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2.样机铭牌上的产品型号和产品名称应与农业机械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鉴定证书、推广鉴定报告中的产品型号和产品名称一致。</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3.样机产品型式、结构、主要技术参数</w:t>
      </w:r>
      <w:r>
        <w:rPr>
          <w:rFonts w:hint="eastAsia" w:ascii="仿宋_GB2312" w:eastAsia="仿宋_GB2312" w:cs="仿宋_GB2312"/>
          <w:sz w:val="32"/>
          <w:szCs w:val="32"/>
          <w:lang w:eastAsia="zh-CN" w:bidi="ar-SA"/>
        </w:rPr>
        <w:t>等</w:t>
      </w:r>
      <w:r>
        <w:rPr>
          <w:rFonts w:hint="eastAsia" w:ascii="仿宋_GB2312" w:eastAsia="仿宋_GB2312" w:cs="仿宋_GB2312"/>
          <w:sz w:val="32"/>
          <w:szCs w:val="32"/>
          <w:lang w:bidi="ar-SA"/>
        </w:rPr>
        <w:t>应与推广鉴定报告一致。样机主要技术参数的测量</w:t>
      </w:r>
      <w:r>
        <w:rPr>
          <w:rFonts w:hint="eastAsia" w:ascii="仿宋_GB2312" w:eastAsia="仿宋_GB2312" w:cs="仿宋_GB2312"/>
          <w:sz w:val="32"/>
          <w:szCs w:val="32"/>
          <w:lang w:eastAsia="zh-CN" w:bidi="ar-SA"/>
        </w:rPr>
        <w:t>偏差</w:t>
      </w:r>
      <w:r>
        <w:rPr>
          <w:rFonts w:hint="eastAsia" w:ascii="仿宋_GB2312" w:eastAsia="仿宋_GB2312" w:cs="仿宋_GB2312"/>
          <w:sz w:val="32"/>
          <w:szCs w:val="32"/>
          <w:lang w:bidi="ar-SA"/>
        </w:rPr>
        <w:t>应符合产品鉴定时推广鉴定大纲的要求。产品按照推广鉴定大纲规定自主变更的，应提供变更批准文件。</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4.农业机械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鉴定证书应无伪造、冒用、涂改、转让、超范围使用和过期使用等情况发生。农业机械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鉴定证书上的</w:t>
      </w:r>
      <w:r>
        <w:rPr>
          <w:rFonts w:hint="eastAsia" w:ascii="仿宋_GB2312" w:eastAsia="仿宋_GB2312" w:cs="仿宋_GB2312"/>
          <w:sz w:val="32"/>
          <w:szCs w:val="32"/>
          <w:lang w:eastAsia="zh-CN" w:bidi="ar-SA"/>
        </w:rPr>
        <w:t>生产者</w:t>
      </w:r>
      <w:r>
        <w:rPr>
          <w:rFonts w:hint="eastAsia" w:ascii="仿宋_GB2312" w:eastAsia="仿宋_GB2312" w:cs="仿宋_GB2312"/>
          <w:sz w:val="32"/>
          <w:szCs w:val="32"/>
          <w:lang w:bidi="ar-SA"/>
        </w:rPr>
        <w:t>名称、注册地址等信息若有变更，必须按规定办理变更手续。</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5.农业机械推广鉴定标志应无伪造、冒用、涂改、转让、超范围使用和过期使用等情况发生。</w:t>
      </w:r>
    </w:p>
    <w:p>
      <w:pPr>
        <w:ind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bidi="ar-SA"/>
        </w:rPr>
        <w:t>（七）</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比例</w:t>
      </w:r>
      <w:r>
        <w:rPr>
          <w:rFonts w:hint="eastAsia" w:ascii="楷体_GB2312" w:eastAsia="楷体_GB2312" w:cs="楷体_GB2312"/>
          <w:sz w:val="32"/>
          <w:szCs w:val="32"/>
          <w:lang w:eastAsia="zh-CN" w:bidi="ar-SA"/>
        </w:rPr>
        <w:t>和检查</w:t>
      </w:r>
      <w:r>
        <w:rPr>
          <w:rFonts w:hint="eastAsia" w:ascii="楷体_GB2312" w:eastAsia="楷体_GB2312" w:cs="楷体_GB2312"/>
          <w:sz w:val="32"/>
          <w:szCs w:val="32"/>
          <w:lang w:bidi="ar-SA"/>
        </w:rPr>
        <w:t>频次</w:t>
      </w:r>
    </w:p>
    <w:p>
      <w:pPr>
        <w:ind w:firstLine="640" w:firstLineChars="200"/>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比例不少于检查对象(生产企业)名录库的25%（</w:t>
      </w: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对象</w:t>
      </w:r>
      <w:r>
        <w:rPr>
          <w:rFonts w:hint="eastAsia" w:ascii="仿宋_GB2312" w:eastAsia="仿宋_GB2312" w:cs="仿宋_GB2312"/>
          <w:color w:val="000000"/>
          <w:sz w:val="32"/>
          <w:szCs w:val="32"/>
          <w:lang w:val="en-US" w:eastAsia="zh-CN" w:bidi="ar-SA"/>
        </w:rPr>
        <w:t>17</w:t>
      </w:r>
      <w:r>
        <w:rPr>
          <w:rFonts w:hint="eastAsia" w:ascii="仿宋_GB2312" w:eastAsia="仿宋_GB2312" w:cs="仿宋_GB2312"/>
          <w:color w:val="000000"/>
          <w:sz w:val="32"/>
          <w:szCs w:val="32"/>
          <w:lang w:eastAsia="zh-CN" w:bidi="ar-SA"/>
        </w:rPr>
        <w:t>家</w:t>
      </w:r>
      <w:r>
        <w:rPr>
          <w:rFonts w:hint="eastAsia" w:ascii="仿宋_GB2312" w:eastAsia="仿宋_GB2312" w:cs="仿宋_GB2312"/>
          <w:color w:val="000000"/>
          <w:sz w:val="32"/>
          <w:szCs w:val="32"/>
          <w:lang w:bidi="ar-SA"/>
        </w:rPr>
        <w:t>，随机抽取</w:t>
      </w:r>
      <w:r>
        <w:rPr>
          <w:rFonts w:hint="eastAsia" w:ascii="仿宋_GB2312" w:eastAsia="仿宋_GB2312" w:cs="仿宋_GB2312"/>
          <w:color w:val="000000"/>
          <w:sz w:val="32"/>
          <w:szCs w:val="32"/>
          <w:lang w:val="en-US" w:eastAsia="zh-CN" w:bidi="ar-SA"/>
        </w:rPr>
        <w:t>5</w:t>
      </w:r>
      <w:r>
        <w:rPr>
          <w:rFonts w:hint="eastAsia" w:ascii="仿宋_GB2312" w:eastAsia="仿宋_GB2312" w:cs="仿宋_GB2312"/>
          <w:color w:val="000000"/>
          <w:sz w:val="32"/>
          <w:szCs w:val="32"/>
          <w:lang w:eastAsia="zh-CN" w:bidi="ar-SA"/>
        </w:rPr>
        <w:t>家</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1次</w:t>
      </w:r>
      <w:r>
        <w:rPr>
          <w:rFonts w:hint="eastAsia" w:ascii="仿宋_GB2312" w:eastAsia="仿宋_GB2312" w:cs="仿宋_GB2312"/>
          <w:color w:val="000000"/>
          <w:sz w:val="32"/>
          <w:szCs w:val="32"/>
          <w:lang w:eastAsia="zh-CN" w:bidi="ar-SA"/>
        </w:rPr>
        <w:t>。</w:t>
      </w:r>
    </w:p>
    <w:p>
      <w:pPr>
        <w:ind w:firstLine="640" w:firstLineChars="200"/>
        <w:rPr>
          <w:rFonts w:hint="eastAsia" w:ascii="楷体_GB2312" w:eastAsia="楷体_GB2312" w:cs="楷体_GB2312"/>
          <w:sz w:val="32"/>
          <w:szCs w:val="32"/>
          <w:lang w:eastAsia="zh-CN" w:bidi="ar-SA"/>
        </w:rPr>
      </w:pPr>
      <w:r>
        <w:rPr>
          <w:rFonts w:hint="eastAsia" w:ascii="楷体_GB2312" w:eastAsia="楷体_GB2312" w:cs="楷体_GB2312"/>
          <w:sz w:val="32"/>
          <w:szCs w:val="32"/>
          <w:lang w:bidi="ar-SA"/>
        </w:rPr>
        <w:t>（八）</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时间</w:t>
      </w:r>
    </w:p>
    <w:p>
      <w:pPr>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时间为8月～9月。</w:t>
      </w:r>
    </w:p>
    <w:p>
      <w:pPr>
        <w:ind w:firstLine="640" w:firstLineChars="200"/>
        <w:rPr>
          <w:rFonts w:hint="eastAsia" w:ascii="仿宋" w:eastAsia="仿宋"/>
          <w:color w:val="000000"/>
          <w:sz w:val="32"/>
          <w:szCs w:val="32"/>
          <w:lang w:eastAsia="zh-CN"/>
        </w:rPr>
      </w:pPr>
      <w:r>
        <w:rPr>
          <w:rFonts w:hint="eastAsia" w:ascii="楷体_GB2312" w:eastAsia="楷体_GB2312" w:cs="楷体_GB2312"/>
          <w:sz w:val="32"/>
          <w:szCs w:val="32"/>
          <w:lang w:bidi="ar-SA"/>
        </w:rPr>
        <w:t>（</w:t>
      </w:r>
      <w:r>
        <w:rPr>
          <w:rFonts w:hint="eastAsia" w:ascii="楷体_GB2312" w:eastAsia="楷体_GB2312" w:cs="楷体_GB2312"/>
          <w:sz w:val="32"/>
          <w:szCs w:val="32"/>
          <w:lang w:eastAsia="zh-CN" w:bidi="ar-SA"/>
        </w:rPr>
        <w:t>九</w:t>
      </w:r>
      <w:r>
        <w:rPr>
          <w:rFonts w:hint="eastAsia" w:ascii="楷体_GB2312" w:eastAsia="楷体_GB2312" w:cs="楷体_GB2312"/>
          <w:sz w:val="32"/>
          <w:szCs w:val="32"/>
          <w:lang w:bidi="ar-SA"/>
        </w:rPr>
        <w:t>）</w:t>
      </w:r>
      <w:r>
        <w:rPr>
          <w:rFonts w:hint="eastAsia" w:ascii="楷体_GB2312" w:eastAsia="楷体_GB2312" w:cs="楷体_GB2312"/>
          <w:sz w:val="32"/>
          <w:szCs w:val="32"/>
          <w:lang w:eastAsia="zh-CN" w:bidi="ar-SA"/>
        </w:rPr>
        <w:t>检</w:t>
      </w:r>
      <w:r>
        <w:rPr>
          <w:rFonts w:hint="eastAsia" w:ascii="楷体_GB2312" w:eastAsia="楷体_GB2312" w:cs="楷体_GB2312"/>
          <w:sz w:val="32"/>
          <w:szCs w:val="32"/>
          <w:lang w:bidi="ar-SA"/>
        </w:rPr>
        <w:t>查机制</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福建省农业机械推广总站</w:t>
      </w:r>
      <w:r>
        <w:rPr>
          <w:rFonts w:hint="eastAsia" w:ascii="仿宋_GB2312" w:eastAsia="仿宋_GB2312" w:cs="仿宋_GB2312"/>
          <w:sz w:val="32"/>
          <w:szCs w:val="32"/>
          <w:lang w:eastAsia="zh-CN" w:bidi="ar-SA"/>
        </w:rPr>
        <w:t>开展</w:t>
      </w:r>
      <w:r>
        <w:rPr>
          <w:rFonts w:hint="eastAsia" w:ascii="仿宋_GB2312" w:eastAsia="仿宋_GB2312" w:cs="仿宋_GB2312"/>
          <w:sz w:val="32"/>
          <w:szCs w:val="32"/>
          <w:lang w:bidi="ar-SA"/>
        </w:rPr>
        <w:t>联合检查</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检查对象所在地市场监督管理部门</w:t>
      </w:r>
      <w:r>
        <w:rPr>
          <w:rFonts w:hint="eastAsia" w:ascii="仿宋_GB2312" w:eastAsia="仿宋_GB2312" w:cs="仿宋_GB2312"/>
          <w:sz w:val="32"/>
          <w:szCs w:val="32"/>
          <w:lang w:eastAsia="zh-CN" w:bidi="ar-SA"/>
        </w:rPr>
        <w:t>参与</w:t>
      </w:r>
      <w:r>
        <w:rPr>
          <w:rFonts w:hint="eastAsia" w:ascii="仿宋_GB2312" w:eastAsia="仿宋_GB2312" w:cs="仿宋_GB2312"/>
          <w:sz w:val="32"/>
          <w:szCs w:val="32"/>
          <w:lang w:bidi="ar-SA"/>
        </w:rPr>
        <w:t>联合检查</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主要采取现场调阅审查相关记录和查验机具相结合的方式</w:t>
      </w:r>
      <w:r>
        <w:rPr>
          <w:rFonts w:hint="eastAsia" w:ascii="仿宋_GB2312" w:eastAsia="仿宋_GB2312" w:cs="仿宋_GB2312"/>
          <w:sz w:val="32"/>
          <w:szCs w:val="32"/>
          <w:lang w:eastAsia="zh-CN" w:bidi="ar-SA"/>
        </w:rPr>
        <w:t>开展</w:t>
      </w:r>
      <w:r>
        <w:rPr>
          <w:rFonts w:hint="eastAsia" w:ascii="仿宋_GB2312" w:eastAsia="仿宋_GB2312" w:cs="仿宋_GB2312"/>
          <w:sz w:val="32"/>
          <w:szCs w:val="32"/>
          <w:lang w:bidi="ar-SA"/>
        </w:rPr>
        <w:t>检查。</w:t>
      </w:r>
    </w:p>
    <w:p>
      <w:pPr>
        <w:ind w:firstLine="643" w:firstLineChars="200"/>
        <w:rPr>
          <w:rFonts w:hint="eastAsia" w:ascii="黑体" w:eastAsia="黑体"/>
          <w:b/>
          <w:sz w:val="32"/>
          <w:szCs w:val="32"/>
        </w:rPr>
      </w:pPr>
      <w:r>
        <w:rPr>
          <w:rFonts w:hint="eastAsia" w:ascii="黑体" w:eastAsia="黑体"/>
          <w:b/>
          <w:sz w:val="32"/>
          <w:szCs w:val="32"/>
        </w:rPr>
        <w:t>三、</w:t>
      </w:r>
      <w:r>
        <w:rPr>
          <w:rFonts w:hint="eastAsia" w:ascii="黑体" w:eastAsia="黑体"/>
          <w:b/>
          <w:sz w:val="32"/>
          <w:szCs w:val="32"/>
          <w:lang w:eastAsia="zh-CN"/>
        </w:rPr>
        <w:t>检</w:t>
      </w:r>
      <w:r>
        <w:rPr>
          <w:rFonts w:hint="eastAsia" w:ascii="黑体" w:eastAsia="黑体"/>
          <w:b/>
          <w:sz w:val="32"/>
          <w:szCs w:val="32"/>
        </w:rPr>
        <w:t>查结果运用</w:t>
      </w:r>
    </w:p>
    <w:p>
      <w:pPr>
        <w:spacing w:line="360" w:lineRule="auto"/>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对监督检查结论为“合格”或“整改确认后合格”的，继续维持被检查的生产者及其产品所获得的农业机械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鉴定证书有效性；监督检查结论为“不合格”的，撤销被检查的生产者及其产品所获得的农业机械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w:t>
      </w:r>
    </w:p>
    <w:p>
      <w:pPr>
        <w:spacing w:line="360" w:lineRule="auto"/>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检查结果遵从“一检查一通报”制度，及时公开</w:t>
      </w:r>
      <w:r>
        <w:rPr>
          <w:rFonts w:hint="eastAsia" w:ascii="仿宋_GB2312" w:eastAsia="仿宋_GB2312" w:cs="仿宋_GB2312"/>
          <w:sz w:val="32"/>
          <w:szCs w:val="32"/>
          <w:lang w:eastAsia="zh-CN" w:bidi="ar-SA"/>
        </w:rPr>
        <w:t>检查</w:t>
      </w:r>
      <w:r>
        <w:rPr>
          <w:rFonts w:hint="eastAsia" w:ascii="仿宋_GB2312" w:eastAsia="仿宋_GB2312" w:cs="仿宋_GB2312"/>
          <w:sz w:val="32"/>
          <w:szCs w:val="32"/>
          <w:lang w:bidi="ar-SA"/>
        </w:rPr>
        <w:t>情况和查处结果。</w:t>
      </w:r>
    </w:p>
    <w:p>
      <w:pPr>
        <w:ind w:firstLine="643" w:firstLineChars="200"/>
        <w:rPr>
          <w:rFonts w:hint="eastAsia" w:ascii="黑体" w:eastAsia="黑体"/>
          <w:b/>
          <w:sz w:val="32"/>
          <w:szCs w:val="32"/>
        </w:rPr>
      </w:pPr>
      <w:r>
        <w:rPr>
          <w:rFonts w:hint="eastAsia" w:ascii="黑体" w:eastAsia="黑体"/>
          <w:b/>
          <w:sz w:val="32"/>
          <w:szCs w:val="32"/>
        </w:rPr>
        <w:t>四、工作要求</w:t>
      </w:r>
    </w:p>
    <w:p>
      <w:pPr>
        <w:ind w:firstLine="640" w:firstLineChars="200"/>
        <w:rPr>
          <w:rFonts w:hint="eastAsia" w:ascii="楷体_GB2312" w:eastAsia="楷体_GB2312" w:cs="楷体_GB2312"/>
          <w:sz w:val="32"/>
          <w:szCs w:val="32"/>
          <w:lang w:eastAsia="zh-CN" w:bidi="ar-SA"/>
        </w:rPr>
      </w:pPr>
      <w:r>
        <w:rPr>
          <w:rFonts w:hint="eastAsia" w:ascii="楷体_GB2312" w:eastAsia="楷体_GB2312" w:cs="楷体_GB2312"/>
          <w:sz w:val="32"/>
          <w:szCs w:val="32"/>
          <w:lang w:bidi="ar-SA"/>
        </w:rPr>
        <w:t>（一）廉洁</w:t>
      </w:r>
      <w:r>
        <w:rPr>
          <w:rFonts w:hint="eastAsia" w:ascii="楷体_GB2312" w:eastAsia="楷体_GB2312" w:cs="楷体_GB2312"/>
          <w:sz w:val="32"/>
          <w:szCs w:val="32"/>
          <w:lang w:eastAsia="zh-CN" w:bidi="ar-SA"/>
        </w:rPr>
        <w:t>规范检查</w:t>
      </w:r>
    </w:p>
    <w:p>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检查人员应坚持科学、公正、高效、廉洁的原则，轻车简从，认真开展工作，记录检查情况，不得向被检查的生产者收取任何费用，开展工作前应签订《监督检查员承诺书》。</w:t>
      </w:r>
    </w:p>
    <w:p>
      <w:pPr>
        <w:numPr>
          <w:ilvl w:val="0"/>
          <w:numId w:val="1"/>
        </w:numPr>
        <w:ind w:left="0"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eastAsia="zh-CN" w:bidi="ar-SA"/>
        </w:rPr>
        <w:t>按时编写报告，</w:t>
      </w:r>
      <w:r>
        <w:rPr>
          <w:rFonts w:hint="eastAsia" w:ascii="楷体_GB2312" w:eastAsia="楷体_GB2312" w:cs="楷体_GB2312"/>
          <w:sz w:val="32"/>
          <w:szCs w:val="32"/>
          <w:lang w:bidi="ar-SA"/>
        </w:rPr>
        <w:t>及时归档</w:t>
      </w:r>
    </w:p>
    <w:p>
      <w:pPr>
        <w:ind w:left="0"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检查结束后，检查人员应按规定</w:t>
      </w:r>
      <w:r>
        <w:rPr>
          <w:rFonts w:hint="eastAsia" w:ascii="仿宋_GB2312" w:eastAsia="仿宋_GB2312" w:cs="仿宋_GB2312"/>
          <w:color w:val="000000"/>
          <w:sz w:val="32"/>
          <w:szCs w:val="32"/>
          <w:lang w:bidi="ar-SA"/>
        </w:rPr>
        <w:t>及时</w:t>
      </w:r>
      <w:r>
        <w:rPr>
          <w:rFonts w:hint="eastAsia" w:ascii="仿宋_GB2312" w:eastAsia="仿宋_GB2312" w:cs="仿宋_GB2312"/>
          <w:sz w:val="32"/>
          <w:szCs w:val="32"/>
          <w:lang w:bidi="ar-SA"/>
        </w:rPr>
        <w:t>完成</w:t>
      </w:r>
      <w:r>
        <w:rPr>
          <w:rFonts w:hint="eastAsia" w:ascii="仿宋_GB2312" w:eastAsia="仿宋_GB2312" w:cs="仿宋_GB2312"/>
          <w:sz w:val="32"/>
          <w:szCs w:val="32"/>
          <w:lang w:eastAsia="zh-CN" w:bidi="ar-SA"/>
        </w:rPr>
        <w:t>编写</w:t>
      </w:r>
      <w:r>
        <w:rPr>
          <w:rFonts w:hint="eastAsia" w:ascii="仿宋_GB2312" w:eastAsia="仿宋_GB2312" w:cs="仿宋_GB2312"/>
          <w:sz w:val="32"/>
          <w:szCs w:val="32"/>
          <w:lang w:bidi="ar-SA"/>
        </w:rPr>
        <w:t>监督检查报告</w:t>
      </w:r>
      <w:r>
        <w:rPr>
          <w:rFonts w:hint="eastAsia" w:ascii="仿宋_GB2312" w:eastAsia="仿宋_GB2312" w:cs="仿宋_GB2312"/>
          <w:sz w:val="32"/>
          <w:szCs w:val="32"/>
          <w:lang w:eastAsia="zh-CN" w:bidi="ar-SA"/>
        </w:rPr>
        <w:t>，</w:t>
      </w:r>
      <w:r>
        <w:rPr>
          <w:rFonts w:hint="eastAsia" w:ascii="仿宋_GB2312" w:eastAsia="仿宋_GB2312" w:cs="仿宋_GB2312"/>
          <w:color w:val="000000"/>
          <w:sz w:val="32"/>
          <w:szCs w:val="32"/>
          <w:lang w:bidi="ar-SA"/>
        </w:rPr>
        <w:t>及时</w:t>
      </w:r>
      <w:r>
        <w:rPr>
          <w:rFonts w:hint="eastAsia" w:ascii="仿宋_GB2312" w:eastAsia="仿宋_GB2312" w:cs="仿宋_GB2312"/>
          <w:sz w:val="32"/>
          <w:szCs w:val="32"/>
          <w:lang w:eastAsia="zh-CN" w:bidi="ar-SA"/>
        </w:rPr>
        <w:t>将</w:t>
      </w:r>
      <w:r>
        <w:rPr>
          <w:rFonts w:hint="eastAsia" w:ascii="仿宋_GB2312" w:eastAsia="仿宋_GB2312" w:cs="仿宋_GB2312"/>
          <w:sz w:val="32"/>
          <w:szCs w:val="32"/>
          <w:lang w:bidi="ar-SA"/>
        </w:rPr>
        <w:t>检查</w:t>
      </w:r>
      <w:r>
        <w:rPr>
          <w:rFonts w:hint="eastAsia" w:ascii="仿宋_GB2312" w:eastAsia="仿宋_GB2312" w:cs="仿宋_GB2312"/>
          <w:sz w:val="32"/>
          <w:szCs w:val="32"/>
          <w:lang w:eastAsia="zh-CN" w:bidi="ar-SA"/>
        </w:rPr>
        <w:t>材料整理</w:t>
      </w:r>
      <w:r>
        <w:rPr>
          <w:rFonts w:hint="eastAsia" w:ascii="仿宋_GB2312" w:eastAsia="仿宋_GB2312" w:cs="仿宋_GB2312"/>
          <w:sz w:val="32"/>
          <w:szCs w:val="32"/>
          <w:lang w:bidi="ar-SA"/>
        </w:rPr>
        <w:t>归档。</w:t>
      </w:r>
    </w:p>
    <w:p>
      <w:pPr>
        <w:widowControl/>
        <w:tabs>
          <w:tab w:val="left" w:pos="4850"/>
        </w:tabs>
        <w:snapToGrid/>
        <w:spacing w:before="0" w:beforeAutospacing="0" w:after="0" w:afterAutospacing="0" w:line="240" w:lineRule="auto"/>
        <w:textAlignment w:val="baseline"/>
        <w:rPr>
          <w:rFonts w:ascii="仿宋_GB2312" w:eastAsia="仿宋_GB2312"/>
          <w:b w:val="0"/>
          <w:i w:val="0"/>
          <w:caps w:val="0"/>
          <w:smallCaps w:val="0"/>
          <w:spacing w:val="0"/>
          <w:w w:val="100"/>
          <w:sz w:val="32"/>
          <w:szCs w:val="32"/>
          <w:lang w:val="en-US" w:eastAsia="en-US" w:bidi="ar-SA"/>
        </w:rPr>
        <w:sectPr>
          <w:headerReference r:id="rId3" w:type="default"/>
          <w:footerReference r:id="rId4" w:type="default"/>
          <w:pgSz w:w="11906" w:h="16838"/>
          <w:pgMar w:top="1440" w:right="1644" w:bottom="1440" w:left="1644" w:header="851" w:footer="992" w:gutter="0"/>
          <w:pgNumType w:fmt="decimal" w:start="1"/>
          <w:cols w:space="720" w:num="1"/>
          <w:docGrid w:type="lines" w:linePitch="326" w:charSpace="0"/>
        </w:sectPr>
      </w:pPr>
      <w:r>
        <w:rPr>
          <w:rFonts w:hint="eastAsia" w:ascii="仿宋_GB2312" w:eastAsia="仿宋_GB2312" w:cs="仿宋_GB2312"/>
          <w:sz w:val="32"/>
          <w:szCs w:val="32"/>
          <w:lang w:bidi="ar-SA"/>
        </w:rPr>
        <w:t>附件：</w:t>
      </w:r>
      <w:r>
        <w:rPr>
          <w:rFonts w:hint="eastAsia" w:ascii="仿宋_GB2312" w:eastAsia="仿宋_GB2312" w:cs="仿宋_GB2312"/>
          <w:sz w:val="32"/>
          <w:szCs w:val="32"/>
          <w:lang w:val="en-US" w:eastAsia="zh-CN" w:bidi="ar-SA"/>
        </w:rPr>
        <w:t>2023年度通过</w:t>
      </w:r>
      <w:r>
        <w:rPr>
          <w:rFonts w:hint="eastAsia" w:ascii="仿宋_GB2312" w:eastAsia="仿宋_GB2312" w:cs="仿宋_GB2312"/>
          <w:sz w:val="32"/>
          <w:szCs w:val="32"/>
          <w:lang w:bidi="ar-SA"/>
        </w:rPr>
        <w:t>农业机械推广鉴定的产品及证书监督检查“双随机一公开</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抽查工作计划表</w:t>
      </w:r>
    </w:p>
    <w:p>
      <w:pPr>
        <w:rPr>
          <w:rFonts w:hint="eastAsia" w:ascii="仿宋_GB2312" w:eastAsia="仿宋_GB2312" w:cs="仿宋_GB2312"/>
          <w:sz w:val="28"/>
          <w:szCs w:val="28"/>
          <w:lang w:bidi="ar-SA"/>
        </w:rPr>
      </w:pPr>
      <w:r>
        <w:rPr>
          <w:rFonts w:hint="eastAsia" w:ascii="仿宋_GB2312" w:eastAsia="仿宋_GB2312" w:cs="仿宋_GB2312"/>
          <w:sz w:val="28"/>
          <w:szCs w:val="28"/>
          <w:lang w:bidi="ar-SA"/>
        </w:rPr>
        <w:t>附件</w:t>
      </w:r>
    </w:p>
    <w:p>
      <w:pPr>
        <w:jc w:val="center"/>
        <w:rPr>
          <w:rFonts w:hint="eastAsia" w:ascii="仿宋_GB2312" w:eastAsia="仿宋_GB2312" w:cs="仿宋_GB2312"/>
          <w:b/>
          <w:sz w:val="32"/>
          <w:szCs w:val="32"/>
          <w:lang w:bidi="ar-SA"/>
        </w:rPr>
      </w:pPr>
      <w:r>
        <w:rPr>
          <w:rFonts w:hint="eastAsia" w:ascii="仿宋_GB2312" w:eastAsia="仿宋_GB2312" w:cs="仿宋_GB2312"/>
          <w:b/>
          <w:sz w:val="32"/>
          <w:szCs w:val="32"/>
          <w:lang w:val="en-US" w:eastAsia="zh-CN" w:bidi="ar-SA"/>
        </w:rPr>
        <w:t>2023年度通过</w:t>
      </w:r>
      <w:r>
        <w:rPr>
          <w:rFonts w:hint="eastAsia" w:ascii="仿宋_GB2312" w:eastAsia="仿宋_GB2312" w:cs="仿宋_GB2312"/>
          <w:b/>
          <w:sz w:val="32"/>
          <w:szCs w:val="32"/>
          <w:lang w:bidi="ar-SA"/>
        </w:rPr>
        <w:t>农业机械推广鉴定的产品及证书监督检查“双随机一公开”抽查工作计划表</w:t>
      </w: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00"/>
        <w:gridCol w:w="1134"/>
        <w:gridCol w:w="5245"/>
        <w:gridCol w:w="1134"/>
        <w:gridCol w:w="1275"/>
        <w:gridCol w:w="1134"/>
        <w:gridCol w:w="115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top"/>
          </w:tcPr>
          <w:p>
            <w:pPr>
              <w:rPr>
                <w:rFonts w:hint="eastAsia" w:ascii="仿宋_GB2312" w:eastAsia="仿宋_GB2312" w:cs="仿宋_GB2312"/>
                <w:lang w:bidi="ar-SA"/>
              </w:rPr>
            </w:pPr>
            <w:r>
              <w:rPr>
                <w:rFonts w:hint="eastAsia" w:ascii="仿宋_GB2312" w:eastAsia="仿宋_GB2312" w:cs="仿宋_GB2312"/>
                <w:lang w:bidi="ar-SA"/>
              </w:rPr>
              <w:t>序号</w:t>
            </w:r>
          </w:p>
        </w:tc>
        <w:tc>
          <w:tcPr>
            <w:tcW w:w="1100"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项目</w:t>
            </w:r>
          </w:p>
        </w:tc>
        <w:tc>
          <w:tcPr>
            <w:tcW w:w="1134"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内容</w:t>
            </w:r>
          </w:p>
        </w:tc>
        <w:tc>
          <w:tcPr>
            <w:tcW w:w="5245"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标准和要求</w:t>
            </w:r>
          </w:p>
        </w:tc>
        <w:tc>
          <w:tcPr>
            <w:tcW w:w="1134"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对象</w:t>
            </w:r>
          </w:p>
        </w:tc>
        <w:tc>
          <w:tcPr>
            <w:tcW w:w="1275"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方式</w:t>
            </w:r>
          </w:p>
        </w:tc>
        <w:tc>
          <w:tcPr>
            <w:tcW w:w="1134"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比例</w:t>
            </w:r>
          </w:p>
        </w:tc>
        <w:tc>
          <w:tcPr>
            <w:tcW w:w="1151"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频次</w:t>
            </w:r>
          </w:p>
        </w:tc>
        <w:tc>
          <w:tcPr>
            <w:tcW w:w="1575"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bidi="ar-SA"/>
              </w:rPr>
              <w:t>1</w:t>
            </w:r>
          </w:p>
        </w:tc>
        <w:tc>
          <w:tcPr>
            <w:tcW w:w="1100"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bidi="ar-SA"/>
              </w:rPr>
              <w:t>通过农业机械推广鉴定的产品及证书监督检查</w:t>
            </w:r>
          </w:p>
        </w:tc>
        <w:tc>
          <w:tcPr>
            <w:tcW w:w="1134" w:type="dxa"/>
            <w:noWrap w:val="0"/>
            <w:vAlign w:val="center"/>
          </w:tcPr>
          <w:p>
            <w:pPr>
              <w:rPr>
                <w:rFonts w:hint="eastAsia" w:ascii="仿宋_GB2312" w:eastAsia="仿宋_GB2312" w:cs="仿宋_GB2312"/>
                <w:szCs w:val="21"/>
                <w:lang w:bidi="ar-SA"/>
              </w:rPr>
            </w:pPr>
            <w:r>
              <w:rPr>
                <w:rFonts w:hint="eastAsia" w:ascii="仿宋_GB2312" w:eastAsia="仿宋_GB2312" w:cs="仿宋_GB2312"/>
                <w:szCs w:val="21"/>
                <w:lang w:bidi="ar-SA"/>
              </w:rPr>
              <w:t>1.生产者名称、地址及产品一致性情况；</w:t>
            </w:r>
          </w:p>
          <w:p>
            <w:pPr>
              <w:rPr>
                <w:rFonts w:hint="eastAsia" w:ascii="仿宋_GB2312" w:eastAsia="仿宋_GB2312" w:cs="仿宋_GB2312"/>
                <w:szCs w:val="21"/>
                <w:lang w:bidi="ar-SA"/>
              </w:rPr>
            </w:pPr>
            <w:r>
              <w:rPr>
                <w:rFonts w:hint="eastAsia" w:ascii="仿宋_GB2312" w:eastAsia="仿宋_GB2312" w:cs="仿宋_GB2312"/>
                <w:szCs w:val="21"/>
                <w:lang w:bidi="ar-SA"/>
              </w:rPr>
              <w:t>2.农业机械</w:t>
            </w:r>
            <w:r>
              <w:rPr>
                <w:rFonts w:hint="eastAsia" w:ascii="仿宋_GB2312" w:eastAsia="仿宋_GB2312" w:cs="仿宋_GB2312"/>
                <w:szCs w:val="21"/>
                <w:lang w:eastAsia="zh-CN" w:bidi="ar-SA"/>
              </w:rPr>
              <w:t>试验</w:t>
            </w:r>
            <w:r>
              <w:rPr>
                <w:rFonts w:hint="eastAsia" w:ascii="仿宋_GB2312" w:eastAsia="仿宋_GB2312" w:cs="仿宋_GB2312"/>
                <w:szCs w:val="21"/>
                <w:lang w:bidi="ar-SA"/>
              </w:rPr>
              <w:t>鉴定证书和</w:t>
            </w:r>
            <w:r>
              <w:rPr>
                <w:rFonts w:hint="eastAsia" w:ascii="仿宋_GB2312" w:eastAsia="仿宋_GB2312" w:cs="仿宋_GB2312"/>
                <w:szCs w:val="21"/>
                <w:lang w:eastAsia="zh-CN" w:bidi="ar-SA"/>
              </w:rPr>
              <w:t>推广鉴定</w:t>
            </w:r>
            <w:r>
              <w:rPr>
                <w:rFonts w:hint="eastAsia" w:ascii="仿宋_GB2312" w:eastAsia="仿宋_GB2312" w:cs="仿宋_GB2312"/>
                <w:szCs w:val="21"/>
                <w:lang w:bidi="ar-SA"/>
              </w:rPr>
              <w:t>标志使用情况。</w:t>
            </w:r>
          </w:p>
        </w:tc>
        <w:tc>
          <w:tcPr>
            <w:tcW w:w="5245" w:type="dxa"/>
            <w:noWrap w:val="0"/>
            <w:vAlign w:val="top"/>
          </w:tcPr>
          <w:p>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1.营业执照上的单位名称、住所应与农业机械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鉴定证书上的</w:t>
            </w:r>
            <w:r>
              <w:rPr>
                <w:rFonts w:hint="eastAsia" w:ascii="仿宋_GB2312" w:eastAsia="仿宋_GB2312" w:cs="仿宋_GB2312"/>
                <w:szCs w:val="21"/>
                <w:lang w:bidi="ar-SA"/>
              </w:rPr>
              <w:t>生产者</w:t>
            </w:r>
            <w:r>
              <w:rPr>
                <w:rFonts w:hint="eastAsia" w:ascii="仿宋_GB2312" w:eastAsia="仿宋_GB2312" w:cs="仿宋_GB2312"/>
                <w:szCs w:val="21"/>
                <w:lang w:val="en-US" w:eastAsia="en-US" w:bidi="ar-SA"/>
              </w:rPr>
              <w:t>名称、注册地址一致。</w:t>
            </w:r>
          </w:p>
          <w:p>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2.样机铭牌上的产品型号和产品名称应与农业机械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鉴定证书、推广鉴定报告中的产品型号和产品名称一致。</w:t>
            </w:r>
          </w:p>
          <w:p>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3.样机产品型式、结构、主要技术参数</w:t>
            </w:r>
            <w:r>
              <w:rPr>
                <w:rFonts w:hint="eastAsia" w:ascii="仿宋_GB2312" w:eastAsia="仿宋_GB2312" w:cs="仿宋_GB2312"/>
                <w:szCs w:val="21"/>
                <w:lang w:val="en-US" w:eastAsia="zh-CN" w:bidi="ar-SA"/>
              </w:rPr>
              <w:t>等</w:t>
            </w:r>
            <w:r>
              <w:rPr>
                <w:rFonts w:hint="eastAsia" w:ascii="仿宋_GB2312" w:eastAsia="仿宋_GB2312" w:cs="仿宋_GB2312"/>
                <w:szCs w:val="21"/>
                <w:lang w:val="en-US" w:eastAsia="en-US" w:bidi="ar-SA"/>
              </w:rPr>
              <w:t>应与推广鉴定报告一致。样机主要技术参数的测量</w:t>
            </w:r>
            <w:r>
              <w:rPr>
                <w:rFonts w:hint="eastAsia" w:ascii="仿宋_GB2312" w:eastAsia="仿宋_GB2312" w:cs="仿宋_GB2312"/>
                <w:szCs w:val="21"/>
                <w:lang w:val="en-US" w:eastAsia="zh-CN" w:bidi="ar-SA"/>
              </w:rPr>
              <w:t>偏差</w:t>
            </w:r>
            <w:r>
              <w:rPr>
                <w:rFonts w:hint="eastAsia" w:ascii="仿宋_GB2312" w:eastAsia="仿宋_GB2312" w:cs="仿宋_GB2312"/>
                <w:szCs w:val="21"/>
                <w:lang w:val="en-US" w:eastAsia="en-US" w:bidi="ar-SA"/>
              </w:rPr>
              <w:t>应符合产品鉴定时推广鉴定大纲的要求。产品按照推广鉴定大纲规定自主变更的，应提供变更批准文件。</w:t>
            </w:r>
          </w:p>
          <w:p>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4.农业机械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鉴定证书应无伪造、冒用、涂改、转让、超范围使用和过期使用等情况发生。农业机械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鉴定证书上的</w:t>
            </w:r>
            <w:r>
              <w:rPr>
                <w:rFonts w:hint="eastAsia" w:ascii="仿宋_GB2312" w:eastAsia="仿宋_GB2312" w:cs="仿宋_GB2312"/>
                <w:szCs w:val="21"/>
                <w:lang w:bidi="ar-SA"/>
              </w:rPr>
              <w:t>生产者</w:t>
            </w:r>
            <w:r>
              <w:rPr>
                <w:rFonts w:hint="eastAsia" w:ascii="仿宋_GB2312" w:eastAsia="仿宋_GB2312" w:cs="仿宋_GB2312"/>
                <w:szCs w:val="21"/>
                <w:lang w:val="en-US" w:eastAsia="en-US" w:bidi="ar-SA"/>
              </w:rPr>
              <w:t>名称、注册地址等信息若有变更，必须按规定办理变更手续。</w:t>
            </w:r>
          </w:p>
          <w:p>
            <w:pPr>
              <w:rPr>
                <w:rFonts w:hint="eastAsia" w:ascii="仿宋_GB2312" w:eastAsia="仿宋_GB2312" w:cs="仿宋_GB2312"/>
                <w:color w:val="000000"/>
                <w:szCs w:val="21"/>
                <w:lang w:bidi="ar-SA"/>
              </w:rPr>
            </w:pPr>
            <w:r>
              <w:rPr>
                <w:rFonts w:hint="eastAsia" w:ascii="仿宋_GB2312" w:eastAsia="仿宋_GB2312" w:cs="仿宋_GB2312"/>
                <w:szCs w:val="21"/>
                <w:lang w:val="en-US" w:eastAsia="en-US" w:bidi="ar-SA"/>
              </w:rPr>
              <w:t>5.农业机械推广鉴定标志应无伪造、冒用、涂改、转让、超范围使用和过期使用等情况发生。</w:t>
            </w:r>
          </w:p>
        </w:tc>
        <w:tc>
          <w:tcPr>
            <w:tcW w:w="1134" w:type="dxa"/>
            <w:noWrap w:val="0"/>
            <w:vAlign w:val="center"/>
          </w:tcPr>
          <w:p>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抽查对象为20</w:t>
            </w:r>
            <w:r>
              <w:rPr>
                <w:rFonts w:hint="eastAsia" w:ascii="仿宋_GB2312" w:eastAsia="仿宋_GB2312" w:cs="仿宋_GB2312"/>
                <w:szCs w:val="21"/>
                <w:lang w:val="en-US" w:eastAsia="zh-CN" w:bidi="ar-SA"/>
              </w:rPr>
              <w:t>21</w:t>
            </w:r>
            <w:r>
              <w:rPr>
                <w:rFonts w:hint="eastAsia" w:ascii="仿宋_GB2312" w:eastAsia="仿宋_GB2312" w:cs="仿宋_GB2312"/>
                <w:szCs w:val="21"/>
                <w:lang w:val="en-US" w:eastAsia="en-US" w:bidi="ar-SA"/>
              </w:rPr>
              <w:t>年获得福建省</w:t>
            </w:r>
            <w:r>
              <w:rPr>
                <w:rFonts w:hint="eastAsia" w:ascii="仿宋_GB2312" w:eastAsia="仿宋_GB2312" w:cs="仿宋_GB2312"/>
                <w:szCs w:val="21"/>
                <w:lang w:val="en-US" w:eastAsia="zh-CN" w:bidi="ar-SA"/>
              </w:rPr>
              <w:t>颁发的</w:t>
            </w:r>
            <w:r>
              <w:rPr>
                <w:rFonts w:hint="eastAsia" w:ascii="仿宋_GB2312" w:eastAsia="仿宋_GB2312" w:cs="仿宋_GB2312"/>
                <w:szCs w:val="21"/>
                <w:lang w:val="en-US" w:eastAsia="en-US" w:bidi="ar-SA"/>
              </w:rPr>
              <w:t>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鉴定证书的产品及其生产企业</w:t>
            </w:r>
          </w:p>
        </w:tc>
        <w:tc>
          <w:tcPr>
            <w:tcW w:w="1275"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bidi="ar-SA"/>
              </w:rPr>
              <w:t>随机抽查</w:t>
            </w:r>
          </w:p>
        </w:tc>
        <w:tc>
          <w:tcPr>
            <w:tcW w:w="1134" w:type="dxa"/>
            <w:noWrap w:val="0"/>
            <w:vAlign w:val="center"/>
          </w:tcPr>
          <w:p>
            <w:pPr>
              <w:jc w:val="left"/>
              <w:rPr>
                <w:rFonts w:hint="eastAsia" w:ascii="仿宋_GB2312" w:eastAsia="仿宋_GB2312" w:cs="仿宋_GB2312"/>
                <w:lang w:val="en-US" w:eastAsia="zh-CN" w:bidi="ar-SA"/>
              </w:rPr>
            </w:pPr>
            <w:r>
              <w:rPr>
                <w:rFonts w:hint="eastAsia" w:ascii="仿宋_GB2312" w:eastAsia="仿宋_GB2312" w:cs="仿宋_GB2312"/>
                <w:szCs w:val="21"/>
                <w:lang w:val="en-US" w:eastAsia="zh-CN" w:bidi="ar-SA"/>
              </w:rPr>
              <w:t>检查</w:t>
            </w:r>
            <w:r>
              <w:rPr>
                <w:rFonts w:hint="eastAsia" w:ascii="仿宋_GB2312" w:eastAsia="仿宋_GB2312" w:cs="仿宋_GB2312"/>
                <w:szCs w:val="21"/>
                <w:lang w:val="en-US" w:eastAsia="en-US" w:bidi="ar-SA"/>
              </w:rPr>
              <w:t>比例不少于检查对象(生产企业)名录库的25%（</w:t>
            </w:r>
            <w:r>
              <w:rPr>
                <w:rFonts w:hint="eastAsia" w:ascii="仿宋_GB2312" w:eastAsia="仿宋_GB2312" w:cs="仿宋_GB2312"/>
                <w:szCs w:val="21"/>
                <w:lang w:val="en-US" w:eastAsia="zh-CN" w:bidi="ar-SA"/>
              </w:rPr>
              <w:t>检查</w:t>
            </w:r>
            <w:r>
              <w:rPr>
                <w:rFonts w:hint="eastAsia" w:ascii="仿宋_GB2312" w:eastAsia="仿宋_GB2312" w:cs="仿宋_GB2312"/>
                <w:szCs w:val="21"/>
                <w:lang w:val="en-US" w:eastAsia="en-US" w:bidi="ar-SA"/>
              </w:rPr>
              <w:t>对象</w:t>
            </w:r>
            <w:r>
              <w:rPr>
                <w:rFonts w:hint="eastAsia" w:ascii="仿宋_GB2312" w:eastAsia="仿宋_GB2312" w:cs="仿宋_GB2312"/>
                <w:szCs w:val="21"/>
                <w:lang w:val="en-US" w:eastAsia="zh-CN" w:bidi="ar-SA"/>
              </w:rPr>
              <w:t>17家</w:t>
            </w:r>
            <w:r>
              <w:rPr>
                <w:rFonts w:hint="eastAsia" w:ascii="仿宋_GB2312" w:eastAsia="仿宋_GB2312" w:cs="仿宋_GB2312"/>
                <w:szCs w:val="21"/>
                <w:lang w:val="en-US" w:eastAsia="en-US" w:bidi="ar-SA"/>
              </w:rPr>
              <w:t>，随机抽取</w:t>
            </w:r>
            <w:r>
              <w:rPr>
                <w:rFonts w:hint="eastAsia" w:ascii="仿宋_GB2312" w:eastAsia="仿宋_GB2312" w:cs="仿宋_GB2312"/>
                <w:szCs w:val="21"/>
                <w:lang w:val="en-US" w:eastAsia="zh-CN" w:bidi="ar-SA"/>
              </w:rPr>
              <w:t>5家</w:t>
            </w:r>
            <w:r>
              <w:rPr>
                <w:rFonts w:hint="eastAsia" w:ascii="仿宋_GB2312" w:eastAsia="仿宋_GB2312" w:cs="仿宋_GB2312"/>
                <w:szCs w:val="21"/>
                <w:lang w:val="en-US" w:eastAsia="en-US" w:bidi="ar-SA"/>
              </w:rPr>
              <w:t>）</w:t>
            </w:r>
          </w:p>
        </w:tc>
        <w:tc>
          <w:tcPr>
            <w:tcW w:w="1151" w:type="dxa"/>
            <w:noWrap w:val="0"/>
            <w:vAlign w:val="center"/>
          </w:tcPr>
          <w:p>
            <w:pPr>
              <w:ind w:firstLine="240" w:firstLineChars="100"/>
              <w:jc w:val="center"/>
              <w:rPr>
                <w:rFonts w:hint="eastAsia" w:ascii="仿宋_GB2312" w:eastAsia="仿宋_GB2312" w:cs="仿宋_GB2312"/>
                <w:lang w:bidi="ar-SA"/>
              </w:rPr>
            </w:pPr>
            <w:r>
              <w:rPr>
                <w:rFonts w:hint="eastAsia" w:ascii="仿宋_GB2312" w:eastAsia="仿宋_GB2312" w:cs="仿宋_GB2312"/>
                <w:lang w:bidi="ar-SA"/>
              </w:rPr>
              <w:t>1次</w:t>
            </w:r>
          </w:p>
        </w:tc>
        <w:tc>
          <w:tcPr>
            <w:tcW w:w="1575" w:type="dxa"/>
            <w:noWrap w:val="0"/>
            <w:vAlign w:val="center"/>
          </w:tcPr>
          <w:p>
            <w:pPr>
              <w:jc w:val="center"/>
              <w:rPr>
                <w:rFonts w:hint="eastAsia" w:ascii="仿宋_GB2312" w:eastAsia="仿宋_GB2312" w:cs="仿宋_GB2312"/>
                <w:lang w:bidi="ar-SA"/>
              </w:rPr>
            </w:pPr>
            <w:r>
              <w:rPr>
                <w:rFonts w:hint="eastAsia" w:ascii="仿宋_GB2312" w:eastAsia="仿宋_GB2312" w:cs="仿宋_GB2312"/>
                <w:lang w:bidi="ar-SA"/>
              </w:rPr>
              <w:t>8月～9月</w:t>
            </w:r>
          </w:p>
        </w:tc>
      </w:tr>
    </w:tbl>
    <w:p>
      <w:pPr>
        <w:pStyle w:val="6"/>
        <w:snapToGrid w:val="0"/>
        <w:spacing w:before="0" w:beforeAutospacing="0" w:after="120" w:afterAutospacing="0" w:line="240" w:lineRule="auto"/>
        <w:ind w:left="0" w:leftChars="0"/>
        <w:jc w:val="both"/>
        <w:textAlignment w:val="baseline"/>
        <w:rPr>
          <w:rFonts w:ascii="仿宋" w:eastAsia="仿宋"/>
          <w:b w:val="0"/>
          <w:i w:val="0"/>
          <w:caps w:val="0"/>
          <w:smallCaps w:val="0"/>
          <w:spacing w:val="0"/>
          <w:w w:val="100"/>
          <w:kern w:val="2"/>
          <w:sz w:val="32"/>
          <w:szCs w:val="32"/>
          <w:lang w:val="en-US" w:eastAsia="zh-CN" w:bidi="ar-SA"/>
        </w:rPr>
      </w:pPr>
    </w:p>
    <w:sectPr>
      <w:pgSz w:w="15842" w:h="12242" w:orient="landscape"/>
      <w:pgMar w:top="1134" w:right="1440" w:bottom="1797" w:left="108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napToGrid w:val="0"/>
      <w:jc w:val="center"/>
      <w:textAlignment w:val="baseline"/>
      <w:rPr>
        <w:rFonts w:ascii="Times New Roman" w:hAnsi="Times New Roman" w:eastAsia="宋体"/>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p>
    <w:pPr>
      <w:pStyle w:val="8"/>
      <w:snapToGrid w:val="0"/>
      <w:jc w:val="left"/>
      <w:textAlignment w:val="baseline"/>
      <w:rPr>
        <w:rFonts w:ascii="Times New Roman" w:hAnsi="Times New Roman" w:eastAsia="宋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napToGrid w:val="0"/>
      <w:jc w:val="center"/>
      <w:textAlignment w:val="baseline"/>
      <w:rPr>
        <w:rFonts w:ascii="Times New Roman" w:hAnsi="Times New Roman" w:eastAsia="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80132"/>
    <w:multiLevelType w:val="singleLevel"/>
    <w:tmpl w:val="E9F80132"/>
    <w:lvl w:ilvl="0" w:tentative="0">
      <w:start w:val="2"/>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720"/>
  <w:drawingGridHorizontalSpacing w:val="120"/>
  <w:drawingGridVerticalSpacing w:val="163"/>
  <w:displayHorizontalDrawingGridEvery w:val="1"/>
  <w:displayVerticalDrawingGridEvery w:val="1"/>
  <w:doNotUseMarginsForDrawingGridOrigin w:val="1"/>
  <w:drawingGridHorizontalOrigin w:val="1800"/>
  <w:drawingGridVerticalOrigin w:val="1440"/>
  <w:noPunctuationKerning w:val="1"/>
  <w:compat>
    <w:spaceForUL/>
    <w:ulTrailSpace/>
    <w:growAutofit/>
    <w:useFELayout/>
    <w:useAltKinsokuLineBreakRules/>
    <w:splitPgBreakAndParaMark/>
    <w:compatSetting w:name="compatibilityMode" w:uri="http://schemas.microsoft.com/office/word" w:val="14"/>
  </w:compat>
  <w:docVars>
    <w:docVar w:name="commondata" w:val="eyJoZGlkIjoiYjQwNDJjYmUzMmQ5OThjNTc2ZDZiMWM0NDA5NmE3MjMifQ=="/>
  </w:docVars>
  <w:rsids>
    <w:rsidRoot w:val="00000000"/>
    <w:rsid w:val="06C278B5"/>
    <w:rsid w:val="0EC774FF"/>
    <w:rsid w:val="103A3C0E"/>
    <w:rsid w:val="13A744A7"/>
    <w:rsid w:val="14C40C2A"/>
    <w:rsid w:val="1CB2219C"/>
    <w:rsid w:val="1EB27D68"/>
    <w:rsid w:val="2D127B5A"/>
    <w:rsid w:val="35906305"/>
    <w:rsid w:val="3F2C73B5"/>
    <w:rsid w:val="58136BF6"/>
    <w:rsid w:val="58A83D4C"/>
    <w:rsid w:val="5DC43D9A"/>
    <w:rsid w:val="7F475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textAlignment w:val="baseline"/>
    </w:pPr>
    <w:rPr>
      <w:rFonts w:ascii="Times New Roman" w:hAnsi="Times New Roman" w:eastAsia="宋体" w:cs="Times New Roman"/>
      <w:sz w:val="24"/>
      <w:szCs w:val="24"/>
      <w:lang w:val="en-US" w:eastAsia="en-US"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TextIndent3"/>
    <w:qFormat/>
    <w:uiPriority w:val="0"/>
    <w:pPr>
      <w:spacing w:after="120"/>
      <w:ind w:left="200" w:leftChars="200"/>
      <w:jc w:val="both"/>
      <w:textAlignment w:val="baseline"/>
    </w:pPr>
    <w:rPr>
      <w:rFonts w:ascii="Times New Roman" w:hAnsi="Times New Roman" w:eastAsia="宋体" w:cs="Times New Roman"/>
      <w:kern w:val="2"/>
      <w:sz w:val="16"/>
      <w:szCs w:val="16"/>
      <w:lang w:val="en-US" w:eastAsia="zh-CN" w:bidi="ar-SA"/>
    </w:rPr>
  </w:style>
  <w:style w:type="paragraph" w:customStyle="1" w:styleId="7">
    <w:name w:val="Header"/>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8">
    <w:name w:val="Footer"/>
    <w:qFormat/>
    <w:uiPriority w:val="0"/>
    <w:pPr>
      <w:tabs>
        <w:tab w:val="center" w:pos="4153"/>
        <w:tab w:val="right" w:pos="8306"/>
      </w:tabs>
      <w:snapToGrid w:val="0"/>
      <w:jc w:val="left"/>
      <w:textAlignment w:val="baseline"/>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2572</Words>
  <Characters>2688</Characters>
  <Lines>159</Lines>
  <Paragraphs>58</Paragraphs>
  <TotalTime>17</TotalTime>
  <ScaleCrop>false</ScaleCrop>
  <LinksUpToDate>false</LinksUpToDate>
  <CharactersWithSpaces>2696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2022-02-17T00:22:00Z</dcterms:created>
  <dc:creator>LENOVO-UU</dc:creator>
  <cp:lastModifiedBy>dell2019</cp:lastModifiedBy>
  <cp:lastPrinted>2023-06-19T02:50:00Z</cp:lastPrinted>
  <dcterms:modified xsi:type="dcterms:W3CDTF">2023-06-19T07:39:47Z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867778FCFBF343D7945642B14ED4830D_13</vt:lpwstr>
  </property>
</Properties>
</file>