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9"/>
        <w:rPr>
          <w:rFonts w:hint="default" w:ascii="仿宋_GB2312" w:eastAsia="仿宋_GB2312"/>
          <w:b w:val="0"/>
          <w:bCs/>
          <w:spacing w:val="0"/>
          <w:w w:val="100"/>
          <w:sz w:val="32"/>
          <w:szCs w:val="32"/>
          <w:lang w:val="en-US"/>
        </w:rPr>
      </w:pPr>
      <w:r>
        <w:rPr>
          <w:rFonts w:hint="eastAsia" w:ascii="方正小标宋简体" w:hAnsi="方正小标宋简体" w:eastAsia="方正小标宋简体" w:cs="方正小标宋简体"/>
          <w:b w:val="0"/>
          <w:bCs/>
          <w:color w:val="000000"/>
          <w:spacing w:val="0"/>
          <w:w w:val="100"/>
          <w:kern w:val="0"/>
          <w:sz w:val="44"/>
          <w:szCs w:val="44"/>
          <w:lang w:val="en-US" w:eastAsia="zh-CN"/>
        </w:rPr>
        <w:t>关于《莆田市市级困难群众救助补助资金管理办法》的政策解读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left"/>
        <w:textAlignment w:val="auto"/>
        <w:outlineLvl w:val="9"/>
        <w:rPr>
          <w:rFonts w:hint="eastAsia" w:ascii="仿宋_GB2312" w:hAnsi="仿宋_GB2312" w:eastAsia="仿宋_GB2312" w:cs="仿宋_GB2312"/>
          <w:b w:val="0"/>
          <w:bCs/>
          <w:color w:val="000000"/>
          <w:spacing w:val="0"/>
          <w:w w:val="100"/>
          <w:kern w:val="0"/>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黑体" w:hAnsi="黑体" w:eastAsia="黑体" w:cs="宋体"/>
          <w:b w:val="0"/>
          <w:bCs/>
          <w:spacing w:val="0"/>
          <w:w w:val="100"/>
          <w:sz w:val="32"/>
          <w:szCs w:val="32"/>
          <w:lang w:val="en-US" w:eastAsia="zh-CN"/>
        </w:rPr>
      </w:pPr>
      <w:r>
        <w:rPr>
          <w:rFonts w:hint="eastAsia" w:ascii="黑体" w:hAnsi="黑体" w:eastAsia="黑体" w:cs="宋体"/>
          <w:b w:val="0"/>
          <w:bCs/>
          <w:spacing w:val="0"/>
          <w:w w:val="100"/>
          <w:sz w:val="32"/>
          <w:szCs w:val="32"/>
          <w:lang w:val="en-US" w:eastAsia="zh-CN"/>
        </w:rPr>
        <w:t>一、背景依据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spacing w:val="0"/>
          <w:w w:val="100"/>
          <w:kern w:val="2"/>
          <w:sz w:val="32"/>
          <w:szCs w:val="32"/>
          <w:lang w:val="en-US" w:eastAsia="zh-CN" w:bidi="ar-SA"/>
        </w:rPr>
      </w:pPr>
      <w:r>
        <w:rPr>
          <w:rFonts w:hint="eastAsia" w:ascii="楷体_GB2312" w:hAnsi="楷体_GB2312" w:eastAsia="楷体_GB2312" w:cs="楷体_GB2312"/>
          <w:b/>
          <w:bCs w:val="0"/>
          <w:spacing w:val="0"/>
          <w:w w:val="100"/>
          <w:kern w:val="2"/>
          <w:sz w:val="32"/>
          <w:szCs w:val="32"/>
          <w:lang w:val="en-US" w:eastAsia="zh-CN" w:bidi="ar-SA"/>
        </w:rPr>
        <w:t>（一）制定的必要性和可行性。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Times New Roman" w:eastAsia="仿宋_GB2312" w:cs="Times New Roman"/>
          <w:color w:val="auto"/>
          <w:kern w:val="2"/>
          <w:sz w:val="32"/>
          <w:szCs w:val="32"/>
          <w:u w:val="none"/>
          <w:shd w:val="clear" w:color="auto" w:fill="auto"/>
          <w:lang w:val="en-US" w:eastAsia="zh-CN" w:bidi="ar-SA"/>
        </w:rPr>
        <w:t>为规范和加强困难群众救助补助资金管理，进一步做好困难失能老年人基本养老服务保障工作，</w:t>
      </w:r>
      <w:r>
        <w:rPr>
          <w:rFonts w:hint="default" w:ascii="仿宋_GB2312" w:hAnsi="仿宋_GB2312" w:eastAsia="仿宋_GB2312" w:cs="仿宋_GB2312"/>
          <w:sz w:val="32"/>
          <w:szCs w:val="32"/>
          <w:lang w:val="en-US" w:eastAsia="zh-CN"/>
        </w:rPr>
        <w:t>根据《福建省省级困难群众救助补助资金管理办法》</w:t>
      </w:r>
      <w:r>
        <w:rPr>
          <w:rFonts w:hint="eastAsia" w:ascii="仿宋_GB2312" w:hAnsi="仿宋_GB2312" w:eastAsia="仿宋_GB2312" w:cs="仿宋_GB2312"/>
          <w:sz w:val="32"/>
          <w:szCs w:val="32"/>
          <w:lang w:val="en-US" w:eastAsia="zh-CN"/>
        </w:rPr>
        <w:t>（</w:t>
      </w:r>
      <w:bookmarkStart w:id="0" w:name="PO_fwh"/>
      <w:r>
        <w:rPr>
          <w:rFonts w:hint="eastAsia" w:ascii="仿宋_GB2312" w:hAnsi="仿宋_GB2312" w:eastAsia="仿宋_GB2312" w:cs="仿宋_GB2312"/>
          <w:sz w:val="32"/>
          <w:szCs w:val="32"/>
          <w:lang w:val="en-US" w:eastAsia="zh-CN"/>
        </w:rPr>
        <w:t>闽财规〔2024〕22号</w:t>
      </w:r>
      <w:bookmarkEnd w:id="0"/>
      <w:r>
        <w:rPr>
          <w:rFonts w:hint="eastAsia" w:ascii="仿宋_GB2312" w:hAnsi="仿宋_GB2312" w:eastAsia="仿宋_GB2312" w:cs="仿宋_GB2312"/>
          <w:sz w:val="32"/>
          <w:szCs w:val="32"/>
          <w:lang w:val="en-US" w:eastAsia="zh-CN"/>
        </w:rPr>
        <w:t>）</w:t>
      </w:r>
      <w:r>
        <w:rPr>
          <w:rFonts w:hint="eastAsia" w:ascii="仿宋_GB2312" w:eastAsia="仿宋_GB2312" w:cs="Times New Roman"/>
          <w:color w:val="auto"/>
          <w:kern w:val="2"/>
          <w:sz w:val="32"/>
          <w:szCs w:val="32"/>
          <w:u w:val="none"/>
          <w:shd w:val="clear" w:color="auto" w:fill="auto"/>
          <w:lang w:val="en-US" w:eastAsia="zh-CN" w:bidi="ar-SA"/>
        </w:rPr>
        <w:t>和《莆田市市级财政专项资金管理办法》（莆财预〔2017〕159号）</w:t>
      </w:r>
      <w:r>
        <w:rPr>
          <w:rFonts w:hint="eastAsia" w:ascii="仿宋_GB2312" w:hAnsi="仿宋_GB2312" w:eastAsia="仿宋_GB2312" w:cs="仿宋_GB2312"/>
          <w:sz w:val="32"/>
          <w:szCs w:val="32"/>
          <w:lang w:val="en-US" w:eastAsia="zh-CN"/>
        </w:rPr>
        <w:t>等政策法规</w:t>
      </w:r>
      <w:r>
        <w:rPr>
          <w:rFonts w:hint="default" w:ascii="仿宋_GB2312" w:hAnsi="仿宋_GB2312" w:eastAsia="仿宋_GB2312" w:cs="仿宋_GB2312"/>
          <w:sz w:val="32"/>
          <w:szCs w:val="32"/>
          <w:lang w:val="en-US" w:eastAsia="zh-CN"/>
        </w:rPr>
        <w:t>，结合我市实际情况，</w:t>
      </w:r>
      <w:r>
        <w:rPr>
          <w:rFonts w:hint="eastAsia" w:ascii="仿宋_GB2312" w:hAnsi="仿宋_GB2312" w:eastAsia="仿宋_GB2312" w:cs="仿宋_GB2312"/>
          <w:sz w:val="32"/>
          <w:szCs w:val="32"/>
          <w:lang w:val="en-US" w:eastAsia="zh-CN"/>
        </w:rPr>
        <w:t>我局联合市财政局起草了《莆田市市级困难群众救助补助资金管理办法》（下简称《管理</w:t>
      </w:r>
      <w:bookmarkStart w:id="1" w:name="_GoBack"/>
      <w:bookmarkEnd w:id="1"/>
      <w:r>
        <w:rPr>
          <w:rFonts w:hint="eastAsia" w:ascii="仿宋_GB2312" w:hAnsi="仿宋_GB2312" w:eastAsia="仿宋_GB2312" w:cs="仿宋_GB2312"/>
          <w:sz w:val="32"/>
          <w:szCs w:val="32"/>
          <w:lang w:val="en-US" w:eastAsia="zh-CN"/>
        </w:rPr>
        <w:t>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val="0"/>
          <w:spacing w:val="0"/>
          <w:w w:val="100"/>
          <w:kern w:val="2"/>
          <w:sz w:val="32"/>
          <w:szCs w:val="32"/>
          <w:lang w:val="en-US" w:eastAsia="zh-CN" w:bidi="ar-SA"/>
        </w:rPr>
        <w:t>（二）政策依据。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《中华人民共和国预算法》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《社会救助暂行办法》（国务院令第649号）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《福建省省级困难群众救助补助资金管理办法》</w:t>
      </w:r>
      <w:r>
        <w:rPr>
          <w:rFonts w:hint="eastAsia" w:ascii="仿宋_GB2312" w:hAnsi="仿宋_GB2312" w:eastAsia="仿宋_GB2312" w:cs="仿宋_GB2312"/>
          <w:sz w:val="32"/>
          <w:szCs w:val="32"/>
          <w:lang w:val="en-US" w:eastAsia="zh-CN"/>
        </w:rPr>
        <w:t>（闽财规〔2024〕22号）、</w:t>
      </w:r>
      <w:r>
        <w:rPr>
          <w:rFonts w:hint="eastAsia" w:ascii="仿宋_GB2312" w:eastAsia="仿宋_GB2312" w:cs="Times New Roman"/>
          <w:color w:val="auto"/>
          <w:kern w:val="2"/>
          <w:sz w:val="32"/>
          <w:szCs w:val="32"/>
          <w:u w:val="none"/>
          <w:shd w:val="clear" w:color="auto" w:fill="auto"/>
          <w:lang w:val="en-US" w:eastAsia="zh-CN" w:bidi="ar-SA"/>
        </w:rPr>
        <w:t>《莆田市市级财政专项资金管理办法》（莆财预〔2017〕159号）</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b w:val="0"/>
          <w:bCs/>
          <w:spacing w:val="0"/>
          <w:w w:val="100"/>
          <w:sz w:val="32"/>
          <w:szCs w:val="32"/>
          <w:lang w:val="en-US" w:eastAsia="zh-CN"/>
        </w:rPr>
      </w:pPr>
      <w:r>
        <w:rPr>
          <w:rFonts w:hint="eastAsia" w:ascii="黑体" w:hAnsi="黑体" w:eastAsia="黑体" w:cs="宋体"/>
          <w:b w:val="0"/>
          <w:bCs/>
          <w:spacing w:val="0"/>
          <w:w w:val="100"/>
          <w:sz w:val="32"/>
          <w:szCs w:val="32"/>
          <w:lang w:val="en-US" w:eastAsia="zh-CN"/>
        </w:rPr>
        <w:t>二、主要内容</w:t>
      </w:r>
    </w:p>
    <w:p>
      <w:pPr>
        <w:keepNext w:val="0"/>
        <w:keepLines w:val="0"/>
        <w:pageBreakBefore w:val="0"/>
        <w:widowControl/>
        <w:suppressLineNumbers w:val="0"/>
        <w:kinsoku/>
        <w:overflowPunct/>
        <w:topLinePunct w:val="0"/>
        <w:autoSpaceDE/>
        <w:autoSpaceDN/>
        <w:bidi w:val="0"/>
        <w:spacing w:line="560" w:lineRule="exact"/>
        <w:ind w:firstLine="640" w:firstLineChars="200"/>
        <w:jc w:val="left"/>
        <w:textAlignment w:val="auto"/>
        <w:rPr>
          <w:rFonts w:hint="default" w:ascii="仿宋_GB2312" w:hAnsi="Calibri" w:eastAsia="仿宋_GB2312" w:cs="Arial"/>
          <w:color w:val="auto"/>
          <w:kern w:val="2"/>
          <w:sz w:val="32"/>
          <w:szCs w:val="32"/>
          <w:highlight w:val="none"/>
          <w:u w:val="none"/>
          <w:lang w:val="en-US" w:eastAsia="zh-CN" w:bidi="ar-SA"/>
        </w:rPr>
      </w:pPr>
      <w:r>
        <w:rPr>
          <w:rFonts w:hint="eastAsia" w:ascii="仿宋_GB2312" w:hAnsi="Calibri" w:eastAsia="仿宋_GB2312" w:cs="Arial"/>
          <w:color w:val="auto"/>
          <w:kern w:val="2"/>
          <w:sz w:val="32"/>
          <w:szCs w:val="32"/>
          <w:highlight w:val="none"/>
          <w:u w:val="none"/>
          <w:lang w:val="en-US" w:eastAsia="ar-SA" w:bidi="ar-SA"/>
        </w:rPr>
        <w:t>《</w:t>
      </w:r>
      <w:r>
        <w:rPr>
          <w:rFonts w:hint="eastAsia" w:ascii="仿宋_GB2312" w:hAnsi="Calibri" w:eastAsia="仿宋_GB2312" w:cs="Arial"/>
          <w:color w:val="auto"/>
          <w:kern w:val="2"/>
          <w:sz w:val="32"/>
          <w:szCs w:val="32"/>
          <w:highlight w:val="none"/>
          <w:u w:val="none"/>
          <w:lang w:val="en-US" w:eastAsia="zh-CN" w:bidi="ar-SA"/>
        </w:rPr>
        <w:t>管理</w:t>
      </w:r>
      <w:r>
        <w:rPr>
          <w:rFonts w:hint="eastAsia" w:ascii="仿宋_GB2312" w:hAnsi="Calibri" w:eastAsia="仿宋_GB2312" w:cs="Arial"/>
          <w:color w:val="auto"/>
          <w:kern w:val="2"/>
          <w:sz w:val="32"/>
          <w:szCs w:val="32"/>
          <w:highlight w:val="none"/>
          <w:u w:val="none"/>
          <w:lang w:val="en-US" w:eastAsia="ar-SA" w:bidi="ar-SA"/>
        </w:rPr>
        <w:t>办法》</w:t>
      </w:r>
      <w:r>
        <w:rPr>
          <w:rFonts w:hint="eastAsia" w:ascii="仿宋_GB2312" w:hAnsi="Calibri" w:eastAsia="仿宋_GB2312" w:cs="Arial"/>
          <w:color w:val="auto"/>
          <w:kern w:val="2"/>
          <w:sz w:val="32"/>
          <w:szCs w:val="32"/>
          <w:highlight w:val="none"/>
          <w:u w:val="none"/>
          <w:lang w:val="en-US" w:eastAsia="zh-CN" w:bidi="ar-SA"/>
        </w:rPr>
        <w:t>共五</w:t>
      </w:r>
      <w:r>
        <w:rPr>
          <w:rFonts w:hint="eastAsia" w:ascii="仿宋_GB2312" w:hAnsi="Calibri" w:eastAsia="仿宋_GB2312" w:cs="Arial"/>
          <w:color w:val="auto"/>
          <w:kern w:val="2"/>
          <w:sz w:val="32"/>
          <w:szCs w:val="32"/>
          <w:highlight w:val="none"/>
          <w:u w:val="none"/>
          <w:lang w:val="en-US" w:eastAsia="ar-SA" w:bidi="ar-SA"/>
        </w:rPr>
        <w:t>章</w:t>
      </w:r>
      <w:r>
        <w:rPr>
          <w:rFonts w:hint="eastAsia" w:ascii="仿宋_GB2312" w:hAnsi="Calibri" w:eastAsia="仿宋_GB2312" w:cs="Arial"/>
          <w:color w:val="auto"/>
          <w:kern w:val="2"/>
          <w:sz w:val="32"/>
          <w:szCs w:val="32"/>
          <w:highlight w:val="none"/>
          <w:u w:val="none"/>
          <w:lang w:val="en-US" w:eastAsia="zh-CN" w:bidi="ar-SA"/>
        </w:rPr>
        <w:t>二十条，</w:t>
      </w:r>
      <w:r>
        <w:rPr>
          <w:rFonts w:hint="default" w:ascii="仿宋_GB2312" w:hAnsi="Calibri" w:eastAsia="仿宋_GB2312" w:cs="Arial"/>
          <w:color w:val="auto"/>
          <w:kern w:val="2"/>
          <w:sz w:val="32"/>
          <w:szCs w:val="32"/>
          <w:highlight w:val="none"/>
          <w:u w:val="none"/>
          <w:lang w:val="en-US" w:eastAsia="zh-CN" w:bidi="ar-SA"/>
        </w:rPr>
        <w:t>对部门职责、资金使用范围、资金分配和使用管理、绩效管理和监督检查等方面分别作了相应规定。</w:t>
      </w:r>
    </w:p>
    <w:p>
      <w:pPr>
        <w:keepNext w:val="0"/>
        <w:keepLines w:val="0"/>
        <w:pageBreakBefore w:val="0"/>
        <w:widowControl/>
        <w:suppressLineNumbers w:val="0"/>
        <w:kinsoku/>
        <w:overflowPunct/>
        <w:topLinePunct w:val="0"/>
        <w:autoSpaceDE/>
        <w:autoSpaceDN/>
        <w:bidi w:val="0"/>
        <w:spacing w:line="560" w:lineRule="exact"/>
        <w:ind w:firstLine="643" w:firstLineChars="200"/>
        <w:jc w:val="left"/>
        <w:textAlignment w:val="auto"/>
        <w:rPr>
          <w:rFonts w:hint="default" w:ascii="仿宋_GB2312" w:hAnsi="Calibri" w:eastAsia="仿宋_GB2312" w:cs="Arial"/>
          <w:color w:val="auto"/>
          <w:kern w:val="2"/>
          <w:sz w:val="32"/>
          <w:szCs w:val="32"/>
          <w:highlight w:val="none"/>
          <w:u w:val="none"/>
          <w:lang w:val="zh-TW" w:eastAsia="zh-TW" w:bidi="ar-SA"/>
        </w:rPr>
      </w:pPr>
      <w:r>
        <w:rPr>
          <w:rFonts w:hint="eastAsia" w:ascii="楷体_GB2312" w:hAnsi="楷体_GB2312" w:eastAsia="楷体_GB2312" w:cs="楷体_GB2312"/>
          <w:b/>
          <w:bCs/>
          <w:color w:val="auto"/>
          <w:kern w:val="2"/>
          <w:sz w:val="32"/>
          <w:szCs w:val="32"/>
          <w:highlight w:val="none"/>
          <w:u w:val="none"/>
          <w:lang w:val="en-US" w:eastAsia="zh-CN" w:bidi="ar-SA"/>
        </w:rPr>
        <w:t>（一）完善部门管理职责。</w:t>
      </w:r>
      <w:r>
        <w:rPr>
          <w:rFonts w:hint="default" w:ascii="仿宋_GB2312" w:hAnsi="Calibri" w:eastAsia="仿宋_GB2312" w:cs="Arial"/>
          <w:color w:val="auto"/>
          <w:kern w:val="2"/>
          <w:sz w:val="32"/>
          <w:szCs w:val="32"/>
          <w:highlight w:val="none"/>
          <w:u w:val="none"/>
          <w:lang w:val="en-US" w:eastAsia="zh-CN" w:bidi="ar-SA"/>
        </w:rPr>
        <w:t>专项资金坚持公开、公平、公正的使用管理原则，</w:t>
      </w:r>
      <w:r>
        <w:rPr>
          <w:rFonts w:hint="eastAsia" w:ascii="仿宋_GB2312" w:hAnsi="Calibri" w:eastAsia="仿宋_GB2312" w:cs="Arial"/>
          <w:color w:val="auto"/>
          <w:kern w:val="2"/>
          <w:sz w:val="32"/>
          <w:szCs w:val="32"/>
          <w:highlight w:val="none"/>
          <w:u w:val="none"/>
          <w:lang w:val="en-US" w:eastAsia="zh-CN" w:bidi="ar-SA"/>
        </w:rPr>
        <w:t>明确</w:t>
      </w:r>
      <w:r>
        <w:rPr>
          <w:rFonts w:hint="default" w:ascii="仿宋_GB2312" w:hAnsi="Calibri" w:eastAsia="仿宋_GB2312" w:cs="Arial"/>
          <w:color w:val="auto"/>
          <w:kern w:val="2"/>
          <w:sz w:val="32"/>
          <w:szCs w:val="32"/>
          <w:highlight w:val="none"/>
          <w:u w:val="none"/>
          <w:lang w:val="zh-TW" w:eastAsia="zh-TW" w:bidi="ar-SA"/>
        </w:rPr>
        <w:t>市财政局、市民政局以及县（区、管委会）相关部门在资金管理和使用中的职责分工</w:t>
      </w:r>
      <w:r>
        <w:rPr>
          <w:rFonts w:hint="default" w:ascii="仿宋_GB2312" w:hAnsi="Calibri" w:eastAsia="仿宋_GB2312" w:cs="Arial"/>
          <w:color w:val="auto"/>
          <w:kern w:val="2"/>
          <w:sz w:val="32"/>
          <w:szCs w:val="32"/>
          <w:highlight w:val="none"/>
          <w:u w:val="none"/>
          <w:lang w:val="en-US" w:eastAsia="zh-CN" w:bidi="ar-SA"/>
        </w:rPr>
        <w:t>，在资金申报、审核、发放、公开、监督及绩效管理等环节做到职责明确、责任清晰。</w:t>
      </w:r>
    </w:p>
    <w:p>
      <w:pPr>
        <w:keepNext w:val="0"/>
        <w:keepLines w:val="0"/>
        <w:pageBreakBefore w:val="0"/>
        <w:widowControl/>
        <w:suppressLineNumbers w:val="0"/>
        <w:kinsoku/>
        <w:overflowPunct/>
        <w:topLinePunct w:val="0"/>
        <w:autoSpaceDE/>
        <w:autoSpaceDN/>
        <w:bidi w:val="0"/>
        <w:spacing w:line="560" w:lineRule="exact"/>
        <w:ind w:firstLine="643" w:firstLineChars="200"/>
        <w:jc w:val="left"/>
        <w:textAlignment w:val="auto"/>
        <w:rPr>
          <w:rFonts w:hint="default" w:ascii="仿宋_GB2312" w:hAnsi="Calibri" w:eastAsia="仿宋_GB2312" w:cs="Arial"/>
          <w:color w:val="auto"/>
          <w:kern w:val="2"/>
          <w:sz w:val="32"/>
          <w:szCs w:val="32"/>
          <w:highlight w:val="none"/>
          <w:u w:val="none"/>
          <w:lang w:val="zh-TW" w:eastAsia="zh-TW" w:bidi="ar-SA"/>
        </w:rPr>
      </w:pPr>
      <w:r>
        <w:rPr>
          <w:rFonts w:hint="default" w:ascii="楷体_GB2312" w:hAnsi="楷体_GB2312" w:eastAsia="楷体_GB2312" w:cs="楷体_GB2312"/>
          <w:b/>
          <w:bCs/>
          <w:color w:val="auto"/>
          <w:kern w:val="2"/>
          <w:sz w:val="32"/>
          <w:szCs w:val="32"/>
          <w:highlight w:val="none"/>
          <w:u w:val="none"/>
          <w:lang w:val="en-US" w:eastAsia="zh-CN" w:bidi="ar-SA"/>
        </w:rPr>
        <w:t>（二）明确资金使用范围。</w:t>
      </w:r>
      <w:r>
        <w:rPr>
          <w:rFonts w:hint="default" w:ascii="仿宋_GB2312" w:hAnsi="Calibri" w:eastAsia="仿宋_GB2312" w:cs="Arial"/>
          <w:color w:val="auto"/>
          <w:kern w:val="2"/>
          <w:sz w:val="32"/>
          <w:szCs w:val="32"/>
          <w:highlight w:val="none"/>
          <w:u w:val="none"/>
          <w:lang w:val="en-US" w:eastAsia="zh-CN" w:bidi="ar-SA"/>
        </w:rPr>
        <w:t>用于最低生活保障、特困人员救助供养、临时救助、流浪乞讨人员救助、农村留守儿童和困境儿童关爱保护、孤儿（含艾滋病病毒感染儿童和事实无人抚养儿童）基本生活保障以及困难失能老年人基本养老服务救助支出。</w:t>
      </w:r>
    </w:p>
    <w:p>
      <w:pPr>
        <w:keepNext w:val="0"/>
        <w:keepLines w:val="0"/>
        <w:pageBreakBefore w:val="0"/>
        <w:widowControl/>
        <w:suppressLineNumbers w:val="0"/>
        <w:kinsoku/>
        <w:overflowPunct/>
        <w:topLinePunct w:val="0"/>
        <w:autoSpaceDE/>
        <w:autoSpaceDN/>
        <w:bidi w:val="0"/>
        <w:spacing w:line="560" w:lineRule="exact"/>
        <w:ind w:firstLine="643" w:firstLineChars="200"/>
        <w:jc w:val="left"/>
        <w:textAlignment w:val="auto"/>
        <w:rPr>
          <w:rFonts w:hint="default" w:ascii="仿宋_GB2312" w:hAnsi="Calibri" w:eastAsia="仿宋_GB2312" w:cs="Arial"/>
          <w:color w:val="auto"/>
          <w:kern w:val="2"/>
          <w:sz w:val="32"/>
          <w:szCs w:val="32"/>
          <w:highlight w:val="none"/>
          <w:u w:val="none"/>
          <w:lang w:val="zh-TW" w:eastAsia="zh-TW" w:bidi="ar-SA"/>
        </w:rPr>
      </w:pPr>
      <w:r>
        <w:rPr>
          <w:rFonts w:hint="default" w:ascii="楷体_GB2312" w:hAnsi="楷体_GB2312" w:eastAsia="楷体_GB2312" w:cs="楷体_GB2312"/>
          <w:b/>
          <w:bCs/>
          <w:color w:val="auto"/>
          <w:kern w:val="2"/>
          <w:sz w:val="32"/>
          <w:szCs w:val="32"/>
          <w:highlight w:val="none"/>
          <w:u w:val="none"/>
          <w:lang w:val="en-US" w:eastAsia="zh-CN" w:bidi="ar-SA"/>
        </w:rPr>
        <w:t>（三）优化资金分配方式。</w:t>
      </w:r>
      <w:r>
        <w:rPr>
          <w:rFonts w:hint="eastAsia" w:ascii="仿宋_GB2312" w:hAnsi="Calibri" w:eastAsia="仿宋_GB2312" w:cs="Arial"/>
          <w:color w:val="auto"/>
          <w:kern w:val="2"/>
          <w:sz w:val="32"/>
          <w:szCs w:val="32"/>
          <w:highlight w:val="none"/>
          <w:u w:val="none"/>
          <w:lang w:val="en-US" w:eastAsia="zh-CN" w:bidi="ar-SA"/>
        </w:rPr>
        <w:t>明确资金分配方式、使用管理和结转结余处理等规定。</w:t>
      </w:r>
    </w:p>
    <w:p>
      <w:pPr>
        <w:keepNext w:val="0"/>
        <w:keepLines w:val="0"/>
        <w:pageBreakBefore w:val="0"/>
        <w:widowControl/>
        <w:suppressLineNumbers w:val="0"/>
        <w:kinsoku/>
        <w:overflowPunct/>
        <w:topLinePunct w:val="0"/>
        <w:autoSpaceDE/>
        <w:autoSpaceDN/>
        <w:bidi w:val="0"/>
        <w:spacing w:line="560" w:lineRule="exact"/>
        <w:ind w:firstLine="643" w:firstLineChars="200"/>
        <w:jc w:val="left"/>
        <w:textAlignment w:val="auto"/>
        <w:rPr>
          <w:rFonts w:hint="default" w:ascii="仿宋_GB2312" w:hAnsi="Calibri" w:eastAsia="仿宋_GB2312" w:cs="Arial"/>
          <w:color w:val="auto"/>
          <w:kern w:val="2"/>
          <w:sz w:val="32"/>
          <w:szCs w:val="32"/>
          <w:highlight w:val="none"/>
          <w:u w:val="none"/>
          <w:lang w:val="zh-TW" w:eastAsia="zh-TW" w:bidi="ar-SA"/>
        </w:rPr>
      </w:pPr>
      <w:r>
        <w:rPr>
          <w:rFonts w:hint="default" w:ascii="楷体_GB2312" w:hAnsi="楷体_GB2312" w:eastAsia="楷体_GB2312" w:cs="楷体_GB2312"/>
          <w:b/>
          <w:bCs/>
          <w:color w:val="auto"/>
          <w:kern w:val="2"/>
          <w:sz w:val="32"/>
          <w:szCs w:val="32"/>
          <w:highlight w:val="none"/>
          <w:u w:val="none"/>
          <w:lang w:val="en-US" w:eastAsia="zh-CN" w:bidi="ar-SA"/>
        </w:rPr>
        <w:t>（四）强化资金绩效管理。</w:t>
      </w:r>
      <w:r>
        <w:rPr>
          <w:rFonts w:hint="default" w:ascii="仿宋_GB2312" w:hAnsi="Calibri" w:eastAsia="仿宋_GB2312" w:cs="Arial"/>
          <w:color w:val="auto"/>
          <w:kern w:val="2"/>
          <w:sz w:val="32"/>
          <w:szCs w:val="32"/>
          <w:highlight w:val="none"/>
          <w:u w:val="none"/>
          <w:lang w:val="en-US" w:eastAsia="zh-CN" w:bidi="ar-SA"/>
        </w:rPr>
        <w:t>明确专项资金实施全过程预算绩效管理。各级</w:t>
      </w:r>
      <w:r>
        <w:rPr>
          <w:rFonts w:hint="eastAsia" w:ascii="仿宋_GB2312" w:hAnsi="Calibri" w:eastAsia="仿宋_GB2312" w:cs="Arial"/>
          <w:color w:val="auto"/>
          <w:kern w:val="2"/>
          <w:sz w:val="32"/>
          <w:szCs w:val="32"/>
          <w:highlight w:val="none"/>
          <w:u w:val="none"/>
          <w:lang w:val="en-US" w:eastAsia="zh-CN" w:bidi="ar-SA"/>
        </w:rPr>
        <w:t>财政、</w:t>
      </w:r>
      <w:r>
        <w:rPr>
          <w:rFonts w:hint="default" w:ascii="仿宋_GB2312" w:hAnsi="Calibri" w:eastAsia="仿宋_GB2312" w:cs="Arial"/>
          <w:color w:val="auto"/>
          <w:kern w:val="2"/>
          <w:sz w:val="32"/>
          <w:szCs w:val="32"/>
          <w:highlight w:val="none"/>
          <w:u w:val="none"/>
          <w:lang w:val="en-US" w:eastAsia="zh-CN" w:bidi="ar-SA"/>
        </w:rPr>
        <w:t>民政主管部门应当在预算执行中开展绩效目标实现程度和预算执行进度监控，发现问题应分析原因并及时纠正。</w:t>
      </w:r>
    </w:p>
    <w:p>
      <w:pPr>
        <w:keepNext w:val="0"/>
        <w:keepLines w:val="0"/>
        <w:pageBreakBefore w:val="0"/>
        <w:widowControl/>
        <w:numPr>
          <w:ilvl w:val="0"/>
          <w:numId w:val="0"/>
        </w:numPr>
        <w:suppressLineNumbers w:val="0"/>
        <w:kinsoku/>
        <w:overflowPunct/>
        <w:topLinePunct w:val="0"/>
        <w:autoSpaceDE/>
        <w:autoSpaceDN/>
        <w:bidi w:val="0"/>
        <w:spacing w:line="560" w:lineRule="exact"/>
        <w:ind w:firstLine="660" w:firstLineChars="200"/>
        <w:jc w:val="left"/>
        <w:textAlignment w:val="auto"/>
        <w:rPr>
          <w:rFonts w:ascii="微软雅黑" w:hAnsi="微软雅黑" w:eastAsia="微软雅黑" w:cs="微软雅黑"/>
          <w:i w:val="0"/>
          <w:iCs w:val="0"/>
          <w:caps w:val="0"/>
          <w:color w:val="333333"/>
          <w:spacing w:val="0"/>
          <w:kern w:val="0"/>
          <w:sz w:val="33"/>
          <w:szCs w:val="33"/>
          <w:shd w:val="clear" w:fill="FFFFFF"/>
          <w:lang w:val="en-US" w:eastAsia="zh-CN" w:bidi="ar"/>
        </w:rPr>
      </w:pPr>
      <w:r>
        <w:rPr>
          <w:rFonts w:hint="eastAsia" w:ascii="微软雅黑" w:hAnsi="微软雅黑" w:eastAsia="微软雅黑" w:cs="微软雅黑"/>
          <w:i w:val="0"/>
          <w:iCs w:val="0"/>
          <w:caps w:val="0"/>
          <w:color w:val="333333"/>
          <w:spacing w:val="0"/>
          <w:kern w:val="0"/>
          <w:sz w:val="33"/>
          <w:szCs w:val="33"/>
          <w:shd w:val="clear" w:fill="FFFFFF"/>
          <w:lang w:val="en-US" w:eastAsia="zh-CN" w:bidi="ar"/>
        </w:rPr>
        <w:t>三、</w:t>
      </w:r>
      <w:r>
        <w:rPr>
          <w:rFonts w:ascii="微软雅黑" w:hAnsi="微软雅黑" w:eastAsia="微软雅黑" w:cs="微软雅黑"/>
          <w:i w:val="0"/>
          <w:iCs w:val="0"/>
          <w:caps w:val="0"/>
          <w:color w:val="333333"/>
          <w:spacing w:val="0"/>
          <w:kern w:val="0"/>
          <w:sz w:val="33"/>
          <w:szCs w:val="33"/>
          <w:shd w:val="clear" w:fill="FFFFFF"/>
          <w:lang w:val="en-US" w:eastAsia="zh-CN" w:bidi="ar"/>
        </w:rPr>
        <w:t>施行时间</w:t>
      </w:r>
      <w:r>
        <w:rPr>
          <w:rFonts w:hint="eastAsia" w:ascii="微软雅黑" w:hAnsi="微软雅黑" w:eastAsia="微软雅黑" w:cs="微软雅黑"/>
          <w:i w:val="0"/>
          <w:iCs w:val="0"/>
          <w:caps w:val="0"/>
          <w:color w:val="333333"/>
          <w:spacing w:val="0"/>
          <w:kern w:val="0"/>
          <w:sz w:val="33"/>
          <w:szCs w:val="33"/>
          <w:shd w:val="clear" w:fill="FFFFFF"/>
          <w:lang w:val="en-US" w:eastAsia="zh-CN" w:bidi="ar"/>
        </w:rPr>
        <w:t>及范围</w:t>
      </w:r>
    </w:p>
    <w:p>
      <w:pPr>
        <w:keepNext w:val="0"/>
        <w:keepLines w:val="0"/>
        <w:pageBreakBefore w:val="0"/>
        <w:widowControl/>
        <w:numPr>
          <w:ilvl w:val="0"/>
          <w:numId w:val="0"/>
        </w:numPr>
        <w:suppressLineNumbers w:val="0"/>
        <w:kinsoku/>
        <w:overflowPunct/>
        <w:topLinePunct w:val="0"/>
        <w:autoSpaceDE/>
        <w:autoSpaceDN/>
        <w:bidi w:val="0"/>
        <w:spacing w:line="560" w:lineRule="exact"/>
        <w:ind w:firstLine="640" w:firstLineChars="200"/>
        <w:jc w:val="left"/>
        <w:textAlignment w:val="auto"/>
        <w:rPr>
          <w:rFonts w:hint="eastAsia" w:ascii="仿宋_GB2312" w:hAnsi="Calibri" w:eastAsia="仿宋_GB2312" w:cs="Arial"/>
          <w:color w:val="auto"/>
          <w:kern w:val="2"/>
          <w:sz w:val="32"/>
          <w:szCs w:val="32"/>
          <w:highlight w:val="none"/>
          <w:u w:val="none"/>
          <w:lang w:val="en-US" w:eastAsia="zh-CN" w:bidi="ar-SA"/>
        </w:rPr>
      </w:pPr>
      <w:r>
        <w:rPr>
          <w:rFonts w:hint="eastAsia" w:ascii="仿宋_GB2312" w:hAnsi="Calibri" w:eastAsia="仿宋_GB2312" w:cs="Arial"/>
          <w:color w:val="auto"/>
          <w:kern w:val="2"/>
          <w:sz w:val="32"/>
          <w:szCs w:val="32"/>
          <w:highlight w:val="none"/>
          <w:u w:val="none"/>
          <w:lang w:val="en-US" w:eastAsia="zh-CN" w:bidi="ar-SA"/>
        </w:rPr>
        <w:t>自</w:t>
      </w:r>
      <w:r>
        <w:rPr>
          <w:rFonts w:hint="eastAsia" w:ascii="仿宋_GB2312" w:eastAsia="仿宋_GB2312" w:cs="Arial"/>
          <w:color w:val="auto"/>
          <w:kern w:val="2"/>
          <w:sz w:val="32"/>
          <w:szCs w:val="32"/>
          <w:highlight w:val="none"/>
          <w:u w:val="none"/>
          <w:lang w:val="en-US" w:eastAsia="zh-CN" w:bidi="ar-SA"/>
        </w:rPr>
        <w:t>2024年1月1日</w:t>
      </w:r>
      <w:r>
        <w:rPr>
          <w:rFonts w:hint="eastAsia" w:ascii="仿宋_GB2312" w:hAnsi="Calibri" w:eastAsia="仿宋_GB2312" w:cs="Arial"/>
          <w:color w:val="auto"/>
          <w:kern w:val="2"/>
          <w:sz w:val="32"/>
          <w:szCs w:val="32"/>
          <w:highlight w:val="none"/>
          <w:u w:val="none"/>
          <w:lang w:val="en-US" w:eastAsia="zh-CN" w:bidi="ar-SA"/>
        </w:rPr>
        <w:t>起施行</w:t>
      </w:r>
      <w:r>
        <w:rPr>
          <w:rFonts w:hint="eastAsia" w:ascii="仿宋_GB2312" w:hAnsi="Calibri" w:eastAsia="仿宋_GB2312" w:cs="Arial"/>
          <w:color w:val="auto"/>
          <w:kern w:val="2"/>
          <w:sz w:val="32"/>
          <w:szCs w:val="32"/>
          <w:highlight w:val="none"/>
          <w:u w:val="none"/>
          <w:lang w:val="zh-TW" w:eastAsia="zh-TW" w:bidi="ar-SA"/>
        </w:rPr>
        <w:t>，</w:t>
      </w:r>
      <w:r>
        <w:rPr>
          <w:rFonts w:hint="eastAsia" w:ascii="仿宋_GB2312" w:eastAsia="仿宋_GB2312" w:cs="Arial"/>
          <w:color w:val="auto"/>
          <w:kern w:val="2"/>
          <w:sz w:val="32"/>
          <w:szCs w:val="32"/>
          <w:highlight w:val="none"/>
          <w:u w:val="none"/>
          <w:lang w:val="en-US" w:eastAsia="zh-CN" w:bidi="ar-SA"/>
        </w:rPr>
        <w:t>有效期至</w:t>
      </w:r>
      <w:r>
        <w:rPr>
          <w:rFonts w:hint="eastAsia" w:ascii="仿宋_GB2312" w:hAnsi="Calibri" w:eastAsia="仿宋_GB2312" w:cs="Arial"/>
          <w:color w:val="auto"/>
          <w:kern w:val="2"/>
          <w:sz w:val="32"/>
          <w:szCs w:val="32"/>
          <w:highlight w:val="none"/>
          <w:u w:val="none"/>
          <w:lang w:val="en-US" w:eastAsia="zh-CN" w:bidi="ar-SA"/>
        </w:rPr>
        <w:t>202</w:t>
      </w:r>
      <w:r>
        <w:rPr>
          <w:rFonts w:hint="eastAsia" w:ascii="仿宋_GB2312" w:eastAsia="仿宋_GB2312" w:cs="Arial"/>
          <w:color w:val="auto"/>
          <w:kern w:val="2"/>
          <w:sz w:val="32"/>
          <w:szCs w:val="32"/>
          <w:highlight w:val="none"/>
          <w:u w:val="none"/>
          <w:lang w:val="en-US" w:eastAsia="zh-CN" w:bidi="ar-SA"/>
        </w:rPr>
        <w:t>7</w:t>
      </w:r>
      <w:r>
        <w:rPr>
          <w:rFonts w:hint="eastAsia" w:ascii="仿宋_GB2312" w:hAnsi="Calibri" w:eastAsia="仿宋_GB2312" w:cs="Arial"/>
          <w:color w:val="auto"/>
          <w:kern w:val="2"/>
          <w:sz w:val="32"/>
          <w:szCs w:val="32"/>
          <w:highlight w:val="none"/>
          <w:u w:val="none"/>
          <w:lang w:val="en-US" w:eastAsia="zh-CN" w:bidi="ar-SA"/>
        </w:rPr>
        <w:t>年</w:t>
      </w:r>
      <w:r>
        <w:rPr>
          <w:rFonts w:hint="eastAsia" w:ascii="仿宋_GB2312" w:eastAsia="仿宋_GB2312" w:cs="Arial"/>
          <w:color w:val="auto"/>
          <w:kern w:val="2"/>
          <w:sz w:val="32"/>
          <w:szCs w:val="32"/>
          <w:highlight w:val="none"/>
          <w:u w:val="none"/>
          <w:lang w:val="en-US" w:eastAsia="zh-CN" w:bidi="ar-SA"/>
        </w:rPr>
        <w:t>12月31日。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黑体" w:hAnsi="黑体" w:eastAsia="黑体" w:cs="宋体"/>
          <w:b w:val="0"/>
          <w:bCs/>
          <w:spacing w:val="0"/>
          <w:w w:val="100"/>
          <w:sz w:val="32"/>
          <w:szCs w:val="32"/>
          <w:lang w:val="en-US" w:eastAsia="zh-CN"/>
        </w:rPr>
      </w:pPr>
      <w:r>
        <w:rPr>
          <w:rFonts w:hint="eastAsia" w:ascii="黑体" w:hAnsi="黑体" w:eastAsia="黑体" w:cs="宋体"/>
          <w:b w:val="0"/>
          <w:bCs/>
          <w:spacing w:val="0"/>
          <w:w w:val="100"/>
          <w:sz w:val="32"/>
          <w:szCs w:val="32"/>
          <w:lang w:val="en-US" w:eastAsia="zh-CN"/>
        </w:rPr>
        <w:t>四、联系人及联系电话</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88"/>
        <w:jc w:val="both"/>
        <w:textAlignment w:val="auto"/>
        <w:outlineLvl w:val="9"/>
        <w:rPr>
          <w:rFonts w:hint="default" w:ascii="仿宋_GB2312" w:hAnsi="Calibri" w:eastAsia="仿宋_GB2312" w:cs="Arial"/>
          <w:color w:val="auto"/>
          <w:kern w:val="2"/>
          <w:sz w:val="32"/>
          <w:szCs w:val="32"/>
          <w:highlight w:val="none"/>
          <w:u w:val="none"/>
          <w:lang w:val="en-US" w:eastAsia="zh-CN" w:bidi="ar-SA"/>
        </w:rPr>
      </w:pPr>
      <w:r>
        <w:rPr>
          <w:rFonts w:hint="eastAsia" w:ascii="仿宋_GB2312" w:hAnsi="Calibri" w:eastAsia="仿宋_GB2312" w:cs="Arial"/>
          <w:color w:val="auto"/>
          <w:kern w:val="2"/>
          <w:sz w:val="32"/>
          <w:szCs w:val="32"/>
          <w:highlight w:val="none"/>
          <w:u w:val="none"/>
          <w:lang w:val="en-US" w:eastAsia="zh-CN" w:bidi="ar-SA"/>
        </w:rPr>
        <w:t>联系人：方瑜晃，联系电话：0594-2393480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88"/>
        <w:jc w:val="both"/>
        <w:textAlignment w:val="auto"/>
        <w:outlineLvl w:val="9"/>
        <w:rPr>
          <w:rFonts w:hint="eastAsia" w:ascii="仿宋_GB2312" w:hAnsi="仿宋_GB2312" w:eastAsia="仿宋_GB2312" w:cs="仿宋_GB2312"/>
          <w:b w:val="0"/>
          <w:bCs/>
          <w:spacing w:val="0"/>
          <w:w w:val="100"/>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88"/>
        <w:jc w:val="both"/>
        <w:textAlignment w:val="auto"/>
        <w:outlineLvl w:val="9"/>
        <w:rPr>
          <w:rFonts w:hint="eastAsia" w:ascii="仿宋_GB2312" w:hAnsi="仿宋_GB2312" w:eastAsia="仿宋_GB2312" w:cs="仿宋_GB2312"/>
          <w:b w:val="0"/>
          <w:bCs/>
          <w:spacing w:val="0"/>
          <w:w w:val="100"/>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88"/>
        <w:jc w:val="both"/>
        <w:textAlignment w:val="auto"/>
        <w:outlineLvl w:val="9"/>
        <w:rPr>
          <w:rFonts w:hint="eastAsia" w:ascii="仿宋_GB2312" w:hAnsi="仿宋_GB2312" w:eastAsia="仿宋_GB2312" w:cs="仿宋_GB2312"/>
          <w:b w:val="0"/>
          <w:bCs/>
          <w:spacing w:val="0"/>
          <w:w w:val="100"/>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jc w:val="both"/>
        <w:textAlignment w:val="auto"/>
        <w:outlineLvl w:val="9"/>
        <w:rPr>
          <w:rFonts w:hint="eastAsia" w:ascii="仿宋_GB2312" w:hAnsi="仿宋_GB2312" w:eastAsia="仿宋_GB2312" w:cs="仿宋_GB2312"/>
          <w:b w:val="0"/>
          <w:bCs/>
          <w:spacing w:val="0"/>
          <w:w w:val="100"/>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jc w:val="both"/>
        <w:textAlignment w:val="auto"/>
        <w:outlineLvl w:val="9"/>
        <w:rPr>
          <w:rFonts w:hint="default" w:ascii="仿宋_GB2312" w:hAnsi="仿宋_GB2312" w:eastAsia="仿宋_GB2312" w:cs="仿宋_GB2312"/>
          <w:b w:val="0"/>
          <w:bCs/>
          <w:spacing w:val="0"/>
          <w:w w:val="100"/>
          <w:sz w:val="32"/>
          <w:szCs w:val="32"/>
          <w:lang w:val="en-US" w:eastAsia="zh-CN"/>
        </w:rPr>
      </w:pPr>
    </w:p>
    <w:sectPr>
      <w:footerReference r:id="rId3" w:type="default"/>
      <w:pgSz w:w="11906" w:h="16838"/>
      <w:pgMar w:top="2098" w:right="1474" w:bottom="181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732"/>
        <w:tab w:val="clear" w:pos="4153"/>
      </w:tabs>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DJjZjgxMjI5ZWUxZDFjNTc1NjhhMDVkOGZjODYifQ=="/>
  </w:docVars>
  <w:rsids>
    <w:rsidRoot w:val="15973398"/>
    <w:rsid w:val="01A050EF"/>
    <w:rsid w:val="01F56ECB"/>
    <w:rsid w:val="02036CF0"/>
    <w:rsid w:val="094F3E46"/>
    <w:rsid w:val="0C0A02D4"/>
    <w:rsid w:val="0E5057A7"/>
    <w:rsid w:val="0ED518B9"/>
    <w:rsid w:val="12974ADF"/>
    <w:rsid w:val="14AD4E8A"/>
    <w:rsid w:val="15973398"/>
    <w:rsid w:val="161D6EC8"/>
    <w:rsid w:val="1AF248D6"/>
    <w:rsid w:val="1C82482F"/>
    <w:rsid w:val="1CE45B1F"/>
    <w:rsid w:val="1D3A50C9"/>
    <w:rsid w:val="1D5A3F4C"/>
    <w:rsid w:val="1DD412D3"/>
    <w:rsid w:val="20832566"/>
    <w:rsid w:val="21611D4D"/>
    <w:rsid w:val="21FE75C6"/>
    <w:rsid w:val="229018F5"/>
    <w:rsid w:val="237B711D"/>
    <w:rsid w:val="25A477D9"/>
    <w:rsid w:val="2977486C"/>
    <w:rsid w:val="2AD553DA"/>
    <w:rsid w:val="2B732DA8"/>
    <w:rsid w:val="2EB857A7"/>
    <w:rsid w:val="2EE45D6B"/>
    <w:rsid w:val="2F3E36CD"/>
    <w:rsid w:val="2F587BDE"/>
    <w:rsid w:val="2F7C7671"/>
    <w:rsid w:val="2F990266"/>
    <w:rsid w:val="317C672F"/>
    <w:rsid w:val="326B1F6B"/>
    <w:rsid w:val="3AF910BE"/>
    <w:rsid w:val="3B736FF8"/>
    <w:rsid w:val="3BA7084C"/>
    <w:rsid w:val="3F775CED"/>
    <w:rsid w:val="407623F3"/>
    <w:rsid w:val="456B61E8"/>
    <w:rsid w:val="45CD1983"/>
    <w:rsid w:val="474A7E99"/>
    <w:rsid w:val="4C404189"/>
    <w:rsid w:val="4CE26A8A"/>
    <w:rsid w:val="4E1716DF"/>
    <w:rsid w:val="58AE78E0"/>
    <w:rsid w:val="59F27812"/>
    <w:rsid w:val="5DA404B8"/>
    <w:rsid w:val="5DD77772"/>
    <w:rsid w:val="609E2EE5"/>
    <w:rsid w:val="62A0522A"/>
    <w:rsid w:val="62C67E7B"/>
    <w:rsid w:val="64CC2A37"/>
    <w:rsid w:val="66AA6951"/>
    <w:rsid w:val="66B27F22"/>
    <w:rsid w:val="69066118"/>
    <w:rsid w:val="6BEB618E"/>
    <w:rsid w:val="6CF1494E"/>
    <w:rsid w:val="6DB8248D"/>
    <w:rsid w:val="6ED20995"/>
    <w:rsid w:val="6F7E449C"/>
    <w:rsid w:val="71541EF8"/>
    <w:rsid w:val="71692482"/>
    <w:rsid w:val="72343B0D"/>
    <w:rsid w:val="73776E62"/>
    <w:rsid w:val="74F96A47"/>
    <w:rsid w:val="78E87052"/>
    <w:rsid w:val="7B9FE72F"/>
    <w:rsid w:val="7D4142E7"/>
    <w:rsid w:val="7EF5090B"/>
    <w:rsid w:val="7EF70581"/>
    <w:rsid w:val="7F090FB4"/>
    <w:rsid w:val="7F1B156B"/>
    <w:rsid w:val="7FB4079F"/>
    <w:rsid w:val="DE737D41"/>
    <w:rsid w:val="E7BFB4EA"/>
    <w:rsid w:val="ECB1A255"/>
    <w:rsid w:val="EFBC8822"/>
    <w:rsid w:val="F7070499"/>
    <w:rsid w:val="FAE9140D"/>
    <w:rsid w:val="FD3B2E80"/>
    <w:rsid w:val="FDDFB43B"/>
    <w:rsid w:val="FEBB3F64"/>
    <w:rsid w:val="FFEF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spacing w:before="100" w:beforeAutospacing="1" w:after="100" w:afterAutospacing="1"/>
      <w:ind w:firstLine="420" w:firstLineChars="200"/>
      <w:jc w:val="left"/>
    </w:pPr>
    <w:rPr>
      <w:rFonts w:ascii="宋体" w:hAnsi="宋体" w:eastAsia="宋体" w:cs="宋体"/>
      <w:color w:val="000000"/>
      <w:kern w:val="0"/>
      <w:sz w:val="24"/>
      <w:szCs w:val="24"/>
      <w:lang w:val="en-US" w:eastAsia="zh-CN" w:bidi="ar-SA"/>
    </w:rPr>
  </w:style>
  <w:style w:type="paragraph" w:styleId="3">
    <w:name w:val="Body Text"/>
    <w:basedOn w:val="1"/>
    <w:next w:val="4"/>
    <w:qFormat/>
    <w:uiPriority w:val="0"/>
    <w:rPr>
      <w:rFonts w:eastAsia="仿宋_GB2312"/>
      <w:sz w:val="32"/>
      <w:szCs w:val="20"/>
    </w:rPr>
  </w:style>
  <w:style w:type="paragraph" w:styleId="4">
    <w:name w:val="Body Text Indent 2"/>
    <w:basedOn w:val="1"/>
    <w:qFormat/>
    <w:uiPriority w:val="0"/>
    <w:pPr>
      <w:tabs>
        <w:tab w:val="left" w:pos="7020"/>
      </w:tabs>
      <w:spacing w:line="400" w:lineRule="exact"/>
      <w:ind w:firstLine="200" w:firstLineChars="200"/>
    </w:pPr>
    <w:rPr>
      <w:rFonts w:ascii="仿宋_GB2312" w:eastAsia="仿宋_GB2312"/>
      <w:sz w:val="32"/>
    </w:rPr>
  </w:style>
  <w:style w:type="paragraph" w:styleId="5">
    <w:name w:val="toc 3"/>
    <w:basedOn w:val="1"/>
    <w:next w:val="1"/>
    <w:qFormat/>
    <w:uiPriority w:val="0"/>
    <w:pPr>
      <w:ind w:left="420"/>
    </w:pPr>
    <w:rPr>
      <w:rFonts w:ascii="等线" w:hAnsi="等线" w:eastAsia="等线"/>
      <w:b/>
      <w:sz w:val="30"/>
      <w:szCs w:val="3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8">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Lines="0" w:afterLines="0" w:line="576" w:lineRule="exact"/>
      <w:jc w:val="center"/>
      <w:outlineLvl w:val="0"/>
    </w:pPr>
    <w:rPr>
      <w:rFonts w:ascii="Arial" w:hAnsi="Arial" w:eastAsia="方正小标宋_GBK" w:cs="方正小标宋_GBK"/>
      <w:sz w:val="44"/>
      <w:szCs w:val="36"/>
    </w:rPr>
  </w:style>
  <w:style w:type="character" w:styleId="13">
    <w:name w:val="page number"/>
    <w:basedOn w:val="12"/>
    <w:qFormat/>
    <w:uiPriority w:val="0"/>
  </w:style>
  <w:style w:type="paragraph" w:customStyle="1" w:styleId="14">
    <w:name w:val="Body Text First Indent 21"/>
    <w:basedOn w:val="15"/>
    <w:qFormat/>
    <w:uiPriority w:val="0"/>
    <w:pPr>
      <w:spacing w:line="340" w:lineRule="exact"/>
      <w:ind w:right="-139" w:hangingChars="26" w:firstLine="420"/>
    </w:pPr>
    <w:rPr>
      <w:rFonts w:ascii="华文中宋" w:hAnsi="华文中宋" w:eastAsia="华文中宋"/>
      <w:sz w:val="24"/>
      <w:szCs w:val="20"/>
    </w:rPr>
  </w:style>
  <w:style w:type="paragraph" w:customStyle="1" w:styleId="15">
    <w:name w:val="Body Text Indent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2756</Words>
  <Characters>2867</Characters>
  <Lines>0</Lines>
  <Paragraphs>0</Paragraphs>
  <TotalTime>5</TotalTime>
  <ScaleCrop>false</ScaleCrop>
  <LinksUpToDate>false</LinksUpToDate>
  <CharactersWithSpaces>2930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2023-04-28T10:22:00Z</dcterms:created>
  <dc:creator>蓝星</dc:creator>
  <cp:lastModifiedBy>ptxc</cp:lastModifiedBy>
  <cp:lastPrinted>2023-04-28T16:36:00Z</cp:lastPrinted>
  <dcterms:modified xsi:type="dcterms:W3CDTF">2024-09-10T07:08:23Z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3D3753AC61A04B6294E31C22A42D1569_11</vt:lpwstr>
  </property>
</Properties>
</file>